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5483A">
      <w:pPr>
        <w:jc w:val="center"/>
        <w:rPr>
          <w:rFonts w:hint="eastAsia" w:asciiTheme="minorEastAsia" w:hAnsiTheme="minorEastAsia" w:eastAsiaTheme="minorEastAsia" w:cstheme="minorEastAsia"/>
          <w:b/>
          <w:bCs/>
          <w:color w:val="auto"/>
          <w:sz w:val="32"/>
          <w:szCs w:val="40"/>
          <w:lang w:val="en-US" w:eastAsia="zh-CN"/>
        </w:rPr>
      </w:pPr>
      <w:r>
        <w:rPr>
          <w:rFonts w:hint="eastAsia" w:asciiTheme="minorEastAsia" w:hAnsiTheme="minorEastAsia" w:eastAsiaTheme="minorEastAsia" w:cstheme="minorEastAsia"/>
          <w:b/>
          <w:bCs/>
          <w:color w:val="auto"/>
          <w:sz w:val="32"/>
          <w:szCs w:val="40"/>
          <w:lang w:val="en-US" w:eastAsia="zh-CN"/>
        </w:rPr>
        <w:t>安徽省盛岳保安服务集团有限公司格力空调采购项目</w:t>
      </w:r>
    </w:p>
    <w:p w14:paraId="41F16193">
      <w:pPr>
        <w:jc w:val="center"/>
        <w:rPr>
          <w:rFonts w:hint="eastAsia" w:asciiTheme="minorEastAsia" w:hAnsiTheme="minorEastAsia" w:eastAsiaTheme="minorEastAsia" w:cstheme="minorEastAsia"/>
          <w:b/>
          <w:bCs/>
          <w:color w:val="auto"/>
          <w:sz w:val="32"/>
          <w:szCs w:val="40"/>
          <w:lang w:val="en-US" w:eastAsia="zh-CN"/>
        </w:rPr>
      </w:pPr>
      <w:r>
        <w:rPr>
          <w:rFonts w:hint="eastAsia" w:asciiTheme="minorEastAsia" w:hAnsiTheme="minorEastAsia" w:eastAsiaTheme="minorEastAsia" w:cstheme="minorEastAsia"/>
          <w:b/>
          <w:bCs/>
          <w:color w:val="auto"/>
          <w:sz w:val="32"/>
          <w:szCs w:val="40"/>
          <w:lang w:val="en-US" w:eastAsia="zh-CN"/>
        </w:rPr>
        <w:t>报价函</w:t>
      </w:r>
    </w:p>
    <w:p w14:paraId="1A3DBBD4">
      <w:pPr>
        <w:jc w:val="center"/>
        <w:rPr>
          <w:rFonts w:hint="eastAsia" w:asciiTheme="minorEastAsia" w:hAnsiTheme="minorEastAsia" w:eastAsiaTheme="minorEastAsia" w:cstheme="minorEastAsia"/>
          <w:b/>
          <w:bCs/>
          <w:color w:val="auto"/>
          <w:sz w:val="32"/>
          <w:szCs w:val="40"/>
          <w:lang w:val="en-US" w:eastAsia="zh-CN"/>
        </w:rPr>
      </w:pPr>
    </w:p>
    <w:p w14:paraId="432F59CE">
      <w:p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lang w:val="en-US" w:eastAsia="zh-CN"/>
        </w:rPr>
        <w:t>安徽省盛岳保安服务集团有限公司</w:t>
      </w:r>
    </w:p>
    <w:p w14:paraId="35085B30">
      <w:pPr>
        <w:numPr>
          <w:ilvl w:val="0"/>
          <w:numId w:val="1"/>
        </w:num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贵单位</w:t>
      </w:r>
      <w:r>
        <w:rPr>
          <w:rFonts w:hint="eastAsia" w:asciiTheme="minorEastAsia" w:hAnsiTheme="minorEastAsia" w:eastAsiaTheme="minorEastAsia" w:cstheme="minorEastAsia"/>
          <w:sz w:val="28"/>
          <w:szCs w:val="28"/>
          <w:u w:val="single"/>
        </w:rPr>
        <w:t>SYJT2025011402</w:t>
      </w:r>
      <w:r>
        <w:rPr>
          <w:rFonts w:hint="eastAsia" w:asciiTheme="minorEastAsia" w:hAnsiTheme="minorEastAsia" w:eastAsiaTheme="minorEastAsia" w:cstheme="minorEastAsia"/>
          <w:sz w:val="28"/>
          <w:szCs w:val="28"/>
        </w:rPr>
        <w:t>号公告，我们决定参加</w:t>
      </w:r>
      <w:r>
        <w:rPr>
          <w:rFonts w:hint="eastAsia" w:asciiTheme="minorEastAsia" w:hAnsiTheme="minorEastAsia" w:eastAsiaTheme="minorEastAsia" w:cstheme="minorEastAsia"/>
          <w:sz w:val="28"/>
          <w:szCs w:val="28"/>
          <w:lang w:val="en-US" w:eastAsia="zh-CN"/>
        </w:rPr>
        <w:t>该项目</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采购活动。</w:t>
      </w:r>
    </w:p>
    <w:p w14:paraId="0D654D6D">
      <w:pPr>
        <w:numPr>
          <w:ilvl w:val="0"/>
          <w:numId w:val="1"/>
        </w:num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我方授权</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(姓名)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代表我方</w:t>
      </w:r>
      <w:r>
        <w:rPr>
          <w:rFonts w:hint="eastAsia" w:asciiTheme="minorEastAsia" w:hAnsiTheme="minorEastAsia" w:eastAsiaTheme="minorEastAsia" w:cstheme="minorEastAsia"/>
          <w:sz w:val="28"/>
          <w:szCs w:val="28"/>
          <w:u w:val="single"/>
          <w:lang w:val="en-US" w:eastAsia="zh-CN"/>
        </w:rPr>
        <w:t xml:space="preserve">    报价单位   （盖章）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全权处理本项目的有关事宜。</w:t>
      </w:r>
    </w:p>
    <w:p w14:paraId="7669DB37">
      <w:p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、我方</w:t>
      </w:r>
      <w:r>
        <w:rPr>
          <w:rFonts w:hint="eastAsia" w:asciiTheme="minorEastAsia" w:hAnsiTheme="minorEastAsia" w:eastAsiaTheme="minorEastAsia" w:cstheme="minorEastAsia"/>
          <w:sz w:val="28"/>
          <w:szCs w:val="28"/>
          <w:lang w:val="en-US" w:eastAsia="zh-CN"/>
        </w:rPr>
        <w:t>保证遵守询价</w:t>
      </w:r>
      <w:r>
        <w:rPr>
          <w:rFonts w:hint="eastAsia" w:asciiTheme="minorEastAsia" w:hAnsiTheme="minorEastAsia" w:eastAsiaTheme="minorEastAsia" w:cstheme="minorEastAsia"/>
          <w:sz w:val="28"/>
          <w:szCs w:val="28"/>
        </w:rPr>
        <w:t>文件约定的各项要求，提供贵方询价文件中的所有项目</w:t>
      </w:r>
      <w:r>
        <w:rPr>
          <w:rFonts w:hint="eastAsia" w:asciiTheme="minorEastAsia" w:hAnsiTheme="minorEastAsia" w:eastAsiaTheme="minorEastAsia" w:cstheme="minorEastAsia"/>
          <w:sz w:val="28"/>
          <w:szCs w:val="28"/>
          <w:lang w:eastAsia="zh-CN"/>
        </w:rPr>
        <w:t>；我方若有违规行为，贵方可按《中华人民共和国政府采购法》、《招投标法》和《招投标实施细则》相关规定给予惩罚，我方完全接受。</w:t>
      </w:r>
    </w:p>
    <w:p w14:paraId="3D50C972">
      <w:pPr>
        <w:spacing w:after="100"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、一旦我方中标，我方将严格履行合同约定的责任和义务</w:t>
      </w:r>
      <w:r>
        <w:rPr>
          <w:rFonts w:hint="eastAsia" w:asciiTheme="minorEastAsia" w:hAnsiTheme="minorEastAsia" w:eastAsiaTheme="minorEastAsia" w:cstheme="minorEastAsia"/>
          <w:sz w:val="28"/>
          <w:szCs w:val="28"/>
          <w:lang w:eastAsia="zh-CN"/>
        </w:rPr>
        <w:t>。</w:t>
      </w:r>
    </w:p>
    <w:p w14:paraId="34A1E6BC">
      <w:pPr>
        <w:spacing w:after="10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、我方愿意提供贵方可能另外要求的、与投标有关的文件资料，并保证我方已提供和将要提供的文件是真实的、准确的。</w:t>
      </w:r>
    </w:p>
    <w:p w14:paraId="58883126">
      <w:pPr>
        <w:numPr>
          <w:ilvl w:val="0"/>
          <w:numId w:val="0"/>
        </w:numPr>
        <w:jc w:val="left"/>
        <w:rPr>
          <w:rFonts w:hint="eastAsia" w:ascii="宋体" w:hAnsi="宋体" w:eastAsia="宋体" w:cs="宋体"/>
          <w:color w:val="auto"/>
          <w:sz w:val="28"/>
          <w:szCs w:val="36"/>
          <w:lang w:val="en-US" w:eastAsia="zh-CN"/>
        </w:rPr>
      </w:pPr>
    </w:p>
    <w:p w14:paraId="5D1D86C2">
      <w:pPr>
        <w:numPr>
          <w:ilvl w:val="0"/>
          <w:numId w:val="0"/>
        </w:numPr>
        <w:jc w:val="left"/>
        <w:rPr>
          <w:rFonts w:hint="eastAsia" w:ascii="宋体" w:hAnsi="宋体" w:eastAsia="宋体" w:cs="宋体"/>
          <w:color w:val="auto"/>
          <w:sz w:val="28"/>
          <w:szCs w:val="36"/>
          <w:lang w:val="en-US" w:eastAsia="zh-CN"/>
        </w:rPr>
      </w:pPr>
    </w:p>
    <w:p w14:paraId="02828DE7">
      <w:pPr>
        <w:numPr>
          <w:ilvl w:val="0"/>
          <w:numId w:val="0"/>
        </w:numPr>
        <w:jc w:val="right"/>
        <w:rPr>
          <w:rFonts w:hint="eastAsia" w:ascii="宋体" w:hAnsi="宋体" w:eastAsia="宋体" w:cs="宋体"/>
          <w:color w:val="auto"/>
          <w:sz w:val="28"/>
          <w:szCs w:val="36"/>
          <w:u w:val="none"/>
          <w:lang w:val="en-US" w:eastAsia="zh-CN"/>
        </w:rPr>
      </w:pPr>
      <w:r>
        <w:rPr>
          <w:rFonts w:hint="eastAsia" w:ascii="宋体" w:hAnsi="宋体" w:eastAsia="宋体" w:cs="宋体"/>
          <w:color w:val="auto"/>
          <w:sz w:val="28"/>
          <w:szCs w:val="36"/>
          <w:lang w:val="en-US" w:eastAsia="zh-CN"/>
        </w:rPr>
        <w:t xml:space="preserve">报价单位： </w:t>
      </w:r>
      <w:r>
        <w:rPr>
          <w:rFonts w:hint="eastAsia" w:ascii="宋体" w:hAnsi="宋体" w:eastAsia="宋体" w:cs="宋体"/>
          <w:color w:val="auto"/>
          <w:sz w:val="28"/>
          <w:szCs w:val="36"/>
          <w:u w:val="single"/>
          <w:lang w:val="en-US" w:eastAsia="zh-CN"/>
        </w:rPr>
        <w:t xml:space="preserve">  </w:t>
      </w:r>
      <w:r>
        <w:rPr>
          <w:rFonts w:hint="eastAsia" w:ascii="宋体" w:hAnsi="宋体" w:cs="宋体"/>
          <w:color w:val="auto"/>
          <w:sz w:val="28"/>
          <w:szCs w:val="36"/>
          <w:u w:val="single"/>
          <w:lang w:val="en-US" w:eastAsia="zh-CN"/>
        </w:rPr>
        <w:t xml:space="preserve">               </w:t>
      </w:r>
      <w:r>
        <w:rPr>
          <w:rFonts w:hint="eastAsia" w:ascii="宋体" w:hAnsi="宋体" w:eastAsia="宋体" w:cs="宋体"/>
          <w:color w:val="auto"/>
          <w:sz w:val="28"/>
          <w:szCs w:val="36"/>
          <w:u w:val="single"/>
          <w:lang w:val="en-US" w:eastAsia="zh-CN"/>
        </w:rPr>
        <w:t xml:space="preserve">  </w:t>
      </w:r>
      <w:r>
        <w:rPr>
          <w:rFonts w:hint="eastAsia" w:ascii="宋体" w:hAnsi="宋体" w:eastAsia="宋体" w:cs="宋体"/>
          <w:color w:val="auto"/>
          <w:sz w:val="28"/>
          <w:szCs w:val="36"/>
          <w:u w:val="none"/>
          <w:lang w:val="en-US" w:eastAsia="zh-CN"/>
        </w:rPr>
        <w:t>（盖章）</w:t>
      </w:r>
    </w:p>
    <w:p w14:paraId="057E5D6B">
      <w:pPr>
        <w:numPr>
          <w:ilvl w:val="0"/>
          <w:numId w:val="0"/>
        </w:numPr>
        <w:jc w:val="right"/>
        <w:rPr>
          <w:rFonts w:hint="eastAsia" w:ascii="宋体" w:hAnsi="宋体" w:eastAsia="宋体" w:cs="宋体"/>
          <w:color w:val="auto"/>
          <w:sz w:val="28"/>
          <w:szCs w:val="36"/>
          <w:u w:val="none"/>
          <w:lang w:val="en-US" w:eastAsia="zh-CN"/>
        </w:rPr>
      </w:pPr>
    </w:p>
    <w:p w14:paraId="3A6D88ED">
      <w:pPr>
        <w:numPr>
          <w:ilvl w:val="0"/>
          <w:numId w:val="0"/>
        </w:numPr>
        <w:jc w:val="right"/>
        <w:rPr>
          <w:rFonts w:hint="eastAsia" w:ascii="宋体" w:hAnsi="宋体" w:eastAsia="宋体" w:cs="宋体"/>
          <w:color w:val="auto"/>
          <w:sz w:val="28"/>
          <w:szCs w:val="36"/>
          <w:u w:val="none"/>
          <w:lang w:val="en-US" w:eastAsia="zh-CN"/>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val="en-US" w:eastAsia="zh-CN"/>
        </w:rPr>
        <w:t>或委托人</w:t>
      </w:r>
      <w:r>
        <w:rPr>
          <w:rFonts w:hint="eastAsia" w:ascii="宋体" w:hAnsi="宋体" w:eastAsia="宋体" w:cs="宋体"/>
          <w:color w:val="auto"/>
          <w:sz w:val="28"/>
          <w:szCs w:val="36"/>
          <w:lang w:val="en-US" w:eastAsia="zh-CN"/>
        </w:rPr>
        <w:t xml:space="preserve">： </w:t>
      </w:r>
      <w:r>
        <w:rPr>
          <w:rFonts w:hint="eastAsia" w:ascii="宋体" w:hAnsi="宋体" w:eastAsia="宋体" w:cs="宋体"/>
          <w:color w:val="auto"/>
          <w:sz w:val="28"/>
          <w:szCs w:val="36"/>
          <w:u w:val="single"/>
          <w:lang w:val="en-US" w:eastAsia="zh-CN"/>
        </w:rPr>
        <w:t xml:space="preserve">             </w:t>
      </w:r>
      <w:r>
        <w:rPr>
          <w:rFonts w:hint="eastAsia" w:ascii="宋体" w:hAnsi="宋体" w:eastAsia="宋体" w:cs="宋体"/>
          <w:color w:val="auto"/>
          <w:sz w:val="28"/>
          <w:szCs w:val="36"/>
          <w:u w:val="none"/>
          <w:lang w:val="en-US" w:eastAsia="zh-CN"/>
        </w:rPr>
        <w:t>（签字）</w:t>
      </w:r>
    </w:p>
    <w:p w14:paraId="45DD49D0">
      <w:pPr>
        <w:rPr>
          <w:rFonts w:hint="eastAsia" w:asciiTheme="minorEastAsia" w:hAnsiTheme="minorEastAsia" w:eastAsiaTheme="minorEastAsia" w:cstheme="minorEastAsia"/>
          <w:sz w:val="28"/>
          <w:szCs w:val="28"/>
        </w:rPr>
      </w:pPr>
    </w:p>
    <w:p w14:paraId="30DE6C1D">
      <w:pPr>
        <w:rPr>
          <w:rFonts w:hint="eastAsia" w:asciiTheme="minorEastAsia" w:hAnsiTheme="minorEastAsia" w:eastAsiaTheme="minorEastAsia" w:cstheme="minorEastAsia"/>
          <w:sz w:val="28"/>
          <w:szCs w:val="28"/>
        </w:rPr>
      </w:pPr>
    </w:p>
    <w:p w14:paraId="4A148DB2">
      <w:pPr>
        <w:ind w:firstLine="4480" w:firstLineChars="1600"/>
        <w:rPr>
          <w:rFonts w:hint="eastAsia" w:asciiTheme="minorEastAsia" w:hAnsiTheme="minorEastAsia" w:eastAsiaTheme="minorEastAsia" w:cstheme="minorEastAsia"/>
        </w:rPr>
        <w:sectPr>
          <w:headerReference r:id="rId4"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sz w:val="28"/>
          <w:szCs w:val="28"/>
        </w:rPr>
        <w:t>日期：</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月</w:t>
      </w:r>
      <w:r>
        <w:rPr>
          <w:rFonts w:hint="eastAsia" w:ascii="宋体" w:hAnsi="宋体" w:eastAsia="宋体" w:cs="宋体"/>
          <w:color w:val="auto"/>
          <w:sz w:val="28"/>
          <w:szCs w:val="36"/>
          <w:u w:val="single"/>
          <w:lang w:val="en-US" w:eastAsia="zh-CN"/>
        </w:rPr>
        <w:t xml:space="preserve">      </w:t>
      </w:r>
      <w:r>
        <w:rPr>
          <w:rFonts w:hint="eastAsia" w:asciiTheme="minorEastAsia" w:hAnsiTheme="minorEastAsia" w:eastAsiaTheme="minorEastAsia" w:cstheme="minorEastAsia"/>
          <w:sz w:val="28"/>
          <w:szCs w:val="28"/>
        </w:rPr>
        <w:t>日</w:t>
      </w:r>
    </w:p>
    <w:p w14:paraId="628410D5">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安徽省盛岳保安服务集团有限公司</w:t>
      </w:r>
      <w:r>
        <w:rPr>
          <w:rFonts w:hint="eastAsia" w:asciiTheme="minorEastAsia" w:hAnsiTheme="minorEastAsia" w:eastAsiaTheme="minorEastAsia" w:cstheme="minorEastAsia"/>
          <w:b/>
          <w:bCs/>
          <w:sz w:val="36"/>
          <w:szCs w:val="36"/>
          <w:lang w:val="en-US" w:eastAsia="zh-CN"/>
        </w:rPr>
        <w:t>格力</w:t>
      </w:r>
      <w:r>
        <w:rPr>
          <w:rFonts w:hint="eastAsia" w:asciiTheme="minorEastAsia" w:hAnsiTheme="minorEastAsia" w:eastAsiaTheme="minorEastAsia" w:cstheme="minorEastAsia"/>
          <w:b/>
          <w:bCs/>
          <w:sz w:val="36"/>
          <w:szCs w:val="36"/>
          <w:lang w:eastAsia="zh-CN"/>
        </w:rPr>
        <w:t>空调采购</w:t>
      </w:r>
      <w:r>
        <w:rPr>
          <w:rFonts w:hint="eastAsia" w:asciiTheme="minorEastAsia" w:hAnsiTheme="minorEastAsia" w:eastAsiaTheme="minorEastAsia" w:cstheme="minorEastAsia"/>
          <w:b/>
          <w:bCs/>
          <w:sz w:val="36"/>
          <w:szCs w:val="36"/>
        </w:rPr>
        <w:t>项目</w:t>
      </w:r>
    </w:p>
    <w:p w14:paraId="4C385CF7">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报价单</w:t>
      </w:r>
    </w:p>
    <w:p w14:paraId="5ABAD59D">
      <w:pPr>
        <w:jc w:val="left"/>
        <w:rPr>
          <w:rFonts w:hint="eastAsia"/>
          <w:sz w:val="21"/>
          <w:szCs w:val="21"/>
          <w:lang w:val="en-US" w:eastAsia="zh-CN"/>
        </w:rPr>
      </w:pPr>
      <w:r>
        <w:rPr>
          <w:rFonts w:hint="eastAsia"/>
          <w:sz w:val="21"/>
          <w:szCs w:val="21"/>
          <w:lang w:val="en-US" w:eastAsia="zh-CN"/>
        </w:rPr>
        <w:t>报价单位：</w:t>
      </w:r>
      <w:r>
        <w:rPr>
          <w:rFonts w:hint="eastAsia"/>
          <w:sz w:val="21"/>
          <w:szCs w:val="21"/>
          <w:u w:val="single"/>
          <w:lang w:val="en-US" w:eastAsia="zh-CN"/>
        </w:rPr>
        <w:t xml:space="preserve">                  </w:t>
      </w:r>
      <w:r>
        <w:rPr>
          <w:rFonts w:hint="eastAsia"/>
          <w:sz w:val="21"/>
          <w:szCs w:val="21"/>
          <w:lang w:val="en-US" w:eastAsia="zh-CN"/>
        </w:rPr>
        <w:t>公司（盖章）</w:t>
      </w:r>
    </w:p>
    <w:p w14:paraId="5C901BBA">
      <w:pPr>
        <w:jc w:val="left"/>
        <w:rPr>
          <w:rFonts w:hint="default"/>
          <w:sz w:val="21"/>
          <w:szCs w:val="21"/>
          <w:lang w:val="en-US" w:eastAsia="zh-CN"/>
        </w:rPr>
      </w:pPr>
      <w:r>
        <w:rPr>
          <w:rFonts w:hint="eastAsia"/>
          <w:sz w:val="21"/>
          <w:szCs w:val="21"/>
          <w:lang w:val="en-US" w:eastAsia="zh-CN"/>
        </w:rPr>
        <w:t>日期：</w:t>
      </w:r>
      <w:r>
        <w:rPr>
          <w:rFonts w:hint="eastAsia"/>
          <w:sz w:val="21"/>
          <w:szCs w:val="21"/>
          <w:u w:val="single"/>
          <w:lang w:val="en-US" w:eastAsia="zh-CN"/>
        </w:rPr>
        <w:t xml:space="preserve">       </w:t>
      </w:r>
      <w:r>
        <w:rPr>
          <w:rFonts w:hint="eastAsia"/>
          <w:sz w:val="21"/>
          <w:szCs w:val="21"/>
          <w:lang w:val="en-US" w:eastAsia="zh-CN"/>
        </w:rPr>
        <w:t>年</w:t>
      </w:r>
      <w:r>
        <w:rPr>
          <w:rFonts w:hint="eastAsia"/>
          <w:sz w:val="21"/>
          <w:szCs w:val="21"/>
          <w:u w:val="single"/>
          <w:lang w:val="en-US" w:eastAsia="zh-CN"/>
        </w:rPr>
        <w:t xml:space="preserve">      </w:t>
      </w:r>
      <w:r>
        <w:rPr>
          <w:rFonts w:hint="eastAsia"/>
          <w:sz w:val="21"/>
          <w:szCs w:val="21"/>
          <w:lang w:val="en-US" w:eastAsia="zh-CN"/>
        </w:rPr>
        <w:t>月</w:t>
      </w:r>
      <w:r>
        <w:rPr>
          <w:rFonts w:hint="eastAsia"/>
          <w:sz w:val="21"/>
          <w:szCs w:val="21"/>
          <w:u w:val="single"/>
          <w:lang w:val="en-US" w:eastAsia="zh-CN"/>
        </w:rPr>
        <w:t xml:space="preserve">      </w:t>
      </w:r>
      <w:r>
        <w:rPr>
          <w:rFonts w:hint="eastAsia"/>
          <w:sz w:val="21"/>
          <w:szCs w:val="21"/>
          <w:lang w:val="en-US" w:eastAsia="zh-CN"/>
        </w:rPr>
        <w:t>日</w:t>
      </w:r>
    </w:p>
    <w:tbl>
      <w:tblPr>
        <w:tblStyle w:val="10"/>
        <w:tblW w:w="10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85"/>
        <w:gridCol w:w="3630"/>
        <w:gridCol w:w="750"/>
        <w:gridCol w:w="795"/>
        <w:gridCol w:w="1015"/>
        <w:gridCol w:w="1305"/>
        <w:gridCol w:w="1545"/>
      </w:tblGrid>
      <w:tr w14:paraId="0C9B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14:paraId="0D71D88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序号</w:t>
            </w:r>
          </w:p>
        </w:tc>
        <w:tc>
          <w:tcPr>
            <w:tcW w:w="1185" w:type="dxa"/>
            <w:vAlign w:val="center"/>
          </w:tcPr>
          <w:p w14:paraId="13C29CEF">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w:t>
            </w:r>
          </w:p>
        </w:tc>
        <w:tc>
          <w:tcPr>
            <w:tcW w:w="3630" w:type="dxa"/>
            <w:vAlign w:val="center"/>
          </w:tcPr>
          <w:p w14:paraId="7DEE0586">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参数</w:t>
            </w:r>
          </w:p>
        </w:tc>
        <w:tc>
          <w:tcPr>
            <w:tcW w:w="750" w:type="dxa"/>
            <w:vAlign w:val="center"/>
          </w:tcPr>
          <w:p w14:paraId="4D9E1FD5">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c>
          <w:tcPr>
            <w:tcW w:w="795" w:type="dxa"/>
            <w:vAlign w:val="center"/>
          </w:tcPr>
          <w:p w14:paraId="64F35F23">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数量</w:t>
            </w:r>
          </w:p>
        </w:tc>
        <w:tc>
          <w:tcPr>
            <w:tcW w:w="1015" w:type="dxa"/>
            <w:vAlign w:val="center"/>
          </w:tcPr>
          <w:p w14:paraId="616EFC3C">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w:t>
            </w:r>
          </w:p>
        </w:tc>
        <w:tc>
          <w:tcPr>
            <w:tcW w:w="1305" w:type="dxa"/>
            <w:vAlign w:val="center"/>
          </w:tcPr>
          <w:p w14:paraId="4267ABBB">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小计</w:t>
            </w:r>
          </w:p>
        </w:tc>
        <w:tc>
          <w:tcPr>
            <w:tcW w:w="1545" w:type="dxa"/>
            <w:vAlign w:val="center"/>
          </w:tcPr>
          <w:p w14:paraId="2FCDEEA7">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132E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25" w:type="dxa"/>
            <w:vMerge w:val="restart"/>
            <w:shd w:val="clear" w:color="auto" w:fill="auto"/>
            <w:vAlign w:val="center"/>
          </w:tcPr>
          <w:p w14:paraId="250006BD">
            <w:pPr>
              <w:widowControl w:val="0"/>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1</w:t>
            </w:r>
          </w:p>
        </w:tc>
        <w:tc>
          <w:tcPr>
            <w:tcW w:w="1185" w:type="dxa"/>
            <w:shd w:val="clear" w:color="auto" w:fill="auto"/>
            <w:vAlign w:val="center"/>
          </w:tcPr>
          <w:p w14:paraId="6E19C6B9">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cs="宋体"/>
                <w:i w:val="0"/>
                <w:iCs w:val="0"/>
                <w:color w:val="000000"/>
                <w:kern w:val="0"/>
                <w:sz w:val="24"/>
                <w:szCs w:val="24"/>
                <w:u w:val="none"/>
                <w:lang w:val="en-US" w:eastAsia="zh-CN" w:bidi="ar"/>
              </w:rPr>
              <w:t>壁挂空调</w:t>
            </w:r>
          </w:p>
        </w:tc>
        <w:tc>
          <w:tcPr>
            <w:tcW w:w="3630" w:type="dxa"/>
            <w:shd w:val="clear" w:color="auto" w:fill="auto"/>
            <w:vAlign w:val="center"/>
          </w:tcPr>
          <w:p w14:paraId="0488664A">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制冷功率：810W</w:t>
            </w:r>
          </w:p>
          <w:p w14:paraId="4201C762">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制热功率：1250W</w:t>
            </w:r>
          </w:p>
          <w:p w14:paraId="1F977735">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制冷量：3510W</w:t>
            </w:r>
          </w:p>
          <w:p w14:paraId="50455D48">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制热量：5010W</w:t>
            </w:r>
          </w:p>
          <w:p w14:paraId="3C666EA3">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电辅加热功率：1000W</w:t>
            </w:r>
          </w:p>
          <w:p w14:paraId="5B3A60C4">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质保期：十年质保</w:t>
            </w:r>
          </w:p>
          <w:p w14:paraId="41D6D8A9">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能效等级：一级能效</w:t>
            </w:r>
          </w:p>
          <w:p w14:paraId="52233AFF">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是否变频：是</w:t>
            </w:r>
          </w:p>
          <w:p w14:paraId="15B8B9FD">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匹数：1.5匹</w:t>
            </w:r>
          </w:p>
          <w:p w14:paraId="009A9DE6">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冷暖类型：冷暖</w:t>
            </w:r>
          </w:p>
          <w:p w14:paraId="5FEA2F9A">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功能：自清洁，独立除湿</w:t>
            </w:r>
          </w:p>
          <w:p w14:paraId="67D74D24">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宋体" w:hAnsi="宋体" w:eastAsia="宋体" w:cs="宋体"/>
                <w:kern w:val="2"/>
                <w:sz w:val="16"/>
                <w:szCs w:val="16"/>
                <w:vertAlign w:val="baseline"/>
                <w:lang w:val="en-US" w:eastAsia="zh-CN" w:bidi="ar-SA"/>
              </w:rPr>
            </w:pPr>
            <w:r>
              <w:rPr>
                <w:rFonts w:hint="eastAsia" w:asciiTheme="minorEastAsia" w:hAnsiTheme="minorEastAsia" w:eastAsiaTheme="minorEastAsia" w:cstheme="minorEastAsia"/>
                <w:sz w:val="20"/>
                <w:szCs w:val="20"/>
                <w:lang w:val="en-US" w:eastAsia="zh-CN"/>
              </w:rPr>
              <w:t>循环风量：710m3/h</w:t>
            </w:r>
          </w:p>
        </w:tc>
        <w:tc>
          <w:tcPr>
            <w:tcW w:w="750" w:type="dxa"/>
            <w:vMerge w:val="restart"/>
            <w:shd w:val="clear" w:color="auto" w:fill="auto"/>
            <w:vAlign w:val="center"/>
          </w:tcPr>
          <w:p w14:paraId="24BDE414">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台</w:t>
            </w:r>
          </w:p>
        </w:tc>
        <w:tc>
          <w:tcPr>
            <w:tcW w:w="795" w:type="dxa"/>
            <w:vMerge w:val="restart"/>
            <w:shd w:val="clear" w:color="auto" w:fill="auto"/>
            <w:vAlign w:val="center"/>
          </w:tcPr>
          <w:p w14:paraId="55F7B91D">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4</w:t>
            </w:r>
          </w:p>
        </w:tc>
        <w:tc>
          <w:tcPr>
            <w:tcW w:w="1015" w:type="dxa"/>
            <w:vMerge w:val="restart"/>
            <w:shd w:val="clear" w:color="auto" w:fill="auto"/>
            <w:vAlign w:val="center"/>
          </w:tcPr>
          <w:p w14:paraId="3CBDBCF2">
            <w:pPr>
              <w:widowControl w:val="0"/>
              <w:jc w:val="center"/>
              <w:rPr>
                <w:rFonts w:hint="default" w:ascii="宋体" w:hAnsi="宋体" w:eastAsia="宋体" w:cs="宋体"/>
                <w:kern w:val="2"/>
                <w:sz w:val="21"/>
                <w:szCs w:val="21"/>
                <w:vertAlign w:val="baseline"/>
                <w:lang w:val="en-US" w:eastAsia="zh-CN" w:bidi="ar-SA"/>
              </w:rPr>
            </w:pPr>
          </w:p>
        </w:tc>
        <w:tc>
          <w:tcPr>
            <w:tcW w:w="1305" w:type="dxa"/>
            <w:vMerge w:val="restart"/>
            <w:shd w:val="clear" w:color="auto" w:fill="auto"/>
            <w:vAlign w:val="center"/>
          </w:tcPr>
          <w:p w14:paraId="08268CE4">
            <w:pPr>
              <w:widowControl w:val="0"/>
              <w:jc w:val="center"/>
              <w:rPr>
                <w:rFonts w:hint="default" w:ascii="宋体" w:hAnsi="宋体" w:eastAsia="宋体" w:cs="宋体"/>
                <w:kern w:val="2"/>
                <w:sz w:val="18"/>
                <w:szCs w:val="21"/>
                <w:vertAlign w:val="baseline"/>
                <w:lang w:val="en-US" w:eastAsia="zh-CN" w:bidi="ar-SA"/>
              </w:rPr>
            </w:pPr>
          </w:p>
        </w:tc>
        <w:tc>
          <w:tcPr>
            <w:tcW w:w="1545" w:type="dxa"/>
            <w:vMerge w:val="restart"/>
            <w:shd w:val="clear" w:color="auto" w:fill="auto"/>
            <w:vAlign w:val="center"/>
          </w:tcPr>
          <w:p w14:paraId="04102125">
            <w:pPr>
              <w:widowControl w:val="0"/>
              <w:numPr>
                <w:ilvl w:val="0"/>
                <w:numId w:val="0"/>
              </w:numPr>
              <w:jc w:val="both"/>
              <w:rPr>
                <w:rFonts w:hint="eastAsia"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此</w:t>
            </w:r>
            <w:r>
              <w:rPr>
                <w:rFonts w:hint="default" w:ascii="宋体" w:hAnsi="宋体" w:eastAsia="宋体" w:cs="宋体"/>
                <w:kern w:val="2"/>
                <w:sz w:val="18"/>
                <w:szCs w:val="21"/>
                <w:vertAlign w:val="baseline"/>
                <w:lang w:val="en-US" w:eastAsia="zh-CN" w:bidi="ar-SA"/>
              </w:rPr>
              <w:t>报价</w:t>
            </w:r>
            <w:r>
              <w:rPr>
                <w:rFonts w:hint="eastAsia" w:ascii="宋体" w:hAnsi="宋体" w:eastAsia="宋体" w:cs="宋体"/>
                <w:kern w:val="2"/>
                <w:sz w:val="18"/>
                <w:szCs w:val="21"/>
                <w:vertAlign w:val="baseline"/>
                <w:lang w:val="en-US" w:eastAsia="zh-CN" w:bidi="ar-SA"/>
              </w:rPr>
              <w:t>说明：</w:t>
            </w:r>
          </w:p>
          <w:p w14:paraId="603C5AF7">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1、包含</w:t>
            </w:r>
            <w:r>
              <w:rPr>
                <w:rFonts w:hint="default" w:ascii="宋体" w:hAnsi="宋体" w:eastAsia="宋体" w:cs="宋体"/>
                <w:kern w:val="2"/>
                <w:sz w:val="18"/>
                <w:szCs w:val="21"/>
                <w:vertAlign w:val="baseline"/>
                <w:lang w:val="en-US" w:eastAsia="zh-CN" w:bidi="ar-SA"/>
              </w:rPr>
              <w:t>空调设备</w:t>
            </w:r>
            <w:r>
              <w:rPr>
                <w:rFonts w:hint="eastAsia" w:ascii="宋体" w:hAnsi="宋体" w:eastAsia="宋体" w:cs="宋体"/>
                <w:kern w:val="2"/>
                <w:sz w:val="18"/>
                <w:szCs w:val="21"/>
                <w:vertAlign w:val="baseline"/>
                <w:lang w:val="en-US" w:eastAsia="zh-CN" w:bidi="ar-SA"/>
              </w:rPr>
              <w:t>款、运费及标准</w:t>
            </w:r>
            <w:r>
              <w:rPr>
                <w:rFonts w:hint="default" w:ascii="宋体" w:hAnsi="宋体" w:eastAsia="宋体" w:cs="宋体"/>
                <w:kern w:val="2"/>
                <w:sz w:val="18"/>
                <w:szCs w:val="21"/>
                <w:vertAlign w:val="baseline"/>
                <w:lang w:val="en-US" w:eastAsia="zh-CN" w:bidi="ar-SA"/>
              </w:rPr>
              <w:t>安装</w:t>
            </w:r>
            <w:r>
              <w:rPr>
                <w:rFonts w:hint="eastAsia" w:ascii="宋体" w:hAnsi="宋体" w:eastAsia="宋体" w:cs="宋体"/>
                <w:kern w:val="2"/>
                <w:sz w:val="18"/>
                <w:szCs w:val="21"/>
                <w:vertAlign w:val="baseline"/>
                <w:lang w:val="en-US" w:eastAsia="zh-CN" w:bidi="ar-SA"/>
              </w:rPr>
              <w:t>费。</w:t>
            </w:r>
          </w:p>
          <w:p w14:paraId="631DC838">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2、包含每套空调</w:t>
            </w:r>
            <w:r>
              <w:rPr>
                <w:rFonts w:hint="default" w:ascii="宋体" w:hAnsi="宋体" w:eastAsia="宋体" w:cs="宋体"/>
                <w:kern w:val="2"/>
                <w:sz w:val="18"/>
                <w:szCs w:val="21"/>
                <w:vertAlign w:val="baseline"/>
                <w:lang w:val="en-US" w:eastAsia="zh-CN" w:bidi="ar-SA"/>
              </w:rPr>
              <w:t>打孔1个。</w:t>
            </w:r>
          </w:p>
          <w:p w14:paraId="76138DFA">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3、包含每套空调</w:t>
            </w:r>
            <w:r>
              <w:rPr>
                <w:rFonts w:hint="default" w:ascii="宋体" w:hAnsi="宋体" w:eastAsia="宋体" w:cs="宋体"/>
                <w:kern w:val="2"/>
                <w:sz w:val="18"/>
                <w:szCs w:val="21"/>
                <w:vertAlign w:val="baseline"/>
                <w:lang w:val="en-US" w:eastAsia="zh-CN" w:bidi="ar-SA"/>
              </w:rPr>
              <w:t>3米铜管</w:t>
            </w:r>
            <w:r>
              <w:rPr>
                <w:rFonts w:hint="eastAsia" w:ascii="宋体" w:hAnsi="宋体" w:eastAsia="宋体" w:cs="宋体"/>
                <w:kern w:val="2"/>
                <w:sz w:val="18"/>
                <w:szCs w:val="21"/>
                <w:vertAlign w:val="baseline"/>
                <w:lang w:val="en-US" w:eastAsia="zh-CN" w:bidi="ar-SA"/>
              </w:rPr>
              <w:t>。</w:t>
            </w:r>
          </w:p>
          <w:p w14:paraId="7106D1FF">
            <w:pPr>
              <w:widowControl w:val="0"/>
              <w:numPr>
                <w:ilvl w:val="0"/>
                <w:numId w:val="0"/>
              </w:numPr>
              <w:jc w:val="both"/>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4、</w:t>
            </w:r>
            <w:r>
              <w:rPr>
                <w:rFonts w:hint="default" w:ascii="宋体" w:hAnsi="宋体" w:eastAsia="宋体" w:cs="宋体"/>
                <w:kern w:val="2"/>
                <w:sz w:val="18"/>
                <w:szCs w:val="21"/>
                <w:vertAlign w:val="baseline"/>
                <w:lang w:val="en-US" w:eastAsia="zh-CN" w:bidi="ar-SA"/>
              </w:rPr>
              <w:t>如需要增加铜管按照1</w:t>
            </w:r>
            <w:r>
              <w:rPr>
                <w:rFonts w:hint="eastAsia" w:ascii="宋体" w:hAnsi="宋体" w:eastAsia="宋体" w:cs="宋体"/>
                <w:kern w:val="2"/>
                <w:sz w:val="18"/>
                <w:szCs w:val="21"/>
                <w:vertAlign w:val="baseline"/>
                <w:lang w:val="en-US" w:eastAsia="zh-CN" w:bidi="ar-SA"/>
              </w:rPr>
              <w:t>0</w:t>
            </w:r>
            <w:r>
              <w:rPr>
                <w:rFonts w:hint="default" w:ascii="宋体" w:hAnsi="宋体" w:eastAsia="宋体" w:cs="宋体"/>
                <w:kern w:val="2"/>
                <w:sz w:val="18"/>
                <w:szCs w:val="21"/>
                <w:vertAlign w:val="baseline"/>
                <w:lang w:val="en-US" w:eastAsia="zh-CN" w:bidi="ar-SA"/>
              </w:rPr>
              <w:t>0元/米</w:t>
            </w:r>
            <w:r>
              <w:rPr>
                <w:rFonts w:hint="eastAsia" w:ascii="宋体" w:hAnsi="宋体" w:eastAsia="宋体" w:cs="宋体"/>
                <w:kern w:val="2"/>
                <w:sz w:val="18"/>
                <w:szCs w:val="21"/>
                <w:vertAlign w:val="baseline"/>
                <w:lang w:val="en-US" w:eastAsia="zh-CN" w:bidi="ar-SA"/>
              </w:rPr>
              <w:t>额外计算</w:t>
            </w:r>
            <w:r>
              <w:rPr>
                <w:rFonts w:hint="default" w:ascii="宋体" w:hAnsi="宋体" w:eastAsia="宋体" w:cs="宋体"/>
                <w:kern w:val="2"/>
                <w:sz w:val="18"/>
                <w:szCs w:val="21"/>
                <w:vertAlign w:val="baseline"/>
                <w:lang w:val="en-US" w:eastAsia="zh-CN" w:bidi="ar-SA"/>
              </w:rPr>
              <w:t>。</w:t>
            </w:r>
          </w:p>
          <w:p w14:paraId="4B5CC1F7">
            <w:pPr>
              <w:widowControl w:val="0"/>
              <w:jc w:val="center"/>
              <w:rPr>
                <w:rFonts w:hint="default" w:ascii="宋体" w:hAnsi="宋体" w:eastAsia="宋体" w:cs="宋体"/>
                <w:kern w:val="2"/>
                <w:sz w:val="18"/>
                <w:szCs w:val="21"/>
                <w:vertAlign w:val="baseline"/>
                <w:lang w:val="en-US" w:eastAsia="zh-CN" w:bidi="ar-SA"/>
              </w:rPr>
            </w:pPr>
            <w:r>
              <w:rPr>
                <w:rFonts w:hint="eastAsia" w:ascii="宋体" w:hAnsi="宋体" w:eastAsia="宋体" w:cs="宋体"/>
                <w:kern w:val="2"/>
                <w:sz w:val="18"/>
                <w:szCs w:val="21"/>
                <w:vertAlign w:val="baseline"/>
                <w:lang w:val="en-US" w:eastAsia="zh-CN" w:bidi="ar-SA"/>
              </w:rPr>
              <w:t>5、</w:t>
            </w:r>
            <w:r>
              <w:rPr>
                <w:rFonts w:hint="default" w:ascii="宋体" w:hAnsi="宋体" w:eastAsia="宋体" w:cs="宋体"/>
                <w:kern w:val="2"/>
                <w:sz w:val="18"/>
                <w:szCs w:val="21"/>
                <w:vertAlign w:val="baseline"/>
                <w:lang w:val="en-US" w:eastAsia="zh-CN" w:bidi="ar-SA"/>
              </w:rPr>
              <w:t>如</w:t>
            </w:r>
            <w:r>
              <w:rPr>
                <w:rFonts w:hint="eastAsia" w:ascii="宋体" w:hAnsi="宋体" w:eastAsia="宋体" w:cs="宋体"/>
                <w:kern w:val="2"/>
                <w:sz w:val="18"/>
                <w:szCs w:val="21"/>
                <w:vertAlign w:val="baseline"/>
                <w:lang w:val="en-US" w:eastAsia="zh-CN" w:bidi="ar-SA"/>
              </w:rPr>
              <w:t>需吊车、水电施工等费用另算</w:t>
            </w:r>
            <w:r>
              <w:rPr>
                <w:rFonts w:hint="default" w:ascii="宋体" w:hAnsi="宋体" w:eastAsia="宋体" w:cs="宋体"/>
                <w:kern w:val="2"/>
                <w:sz w:val="18"/>
                <w:szCs w:val="21"/>
                <w:vertAlign w:val="baseline"/>
                <w:lang w:val="en-US" w:eastAsia="zh-CN" w:bidi="ar-SA"/>
              </w:rPr>
              <w:t>。</w:t>
            </w:r>
          </w:p>
        </w:tc>
      </w:tr>
      <w:tr w14:paraId="097E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5" w:type="dxa"/>
            <w:vMerge w:val="continue"/>
            <w:shd w:val="clear" w:color="auto" w:fill="auto"/>
            <w:vAlign w:val="center"/>
          </w:tcPr>
          <w:p w14:paraId="69FD207C">
            <w:pPr>
              <w:widowControl w:val="0"/>
              <w:jc w:val="center"/>
              <w:rPr>
                <w:rFonts w:hint="eastAsia" w:ascii="宋体" w:hAnsi="宋体" w:eastAsia="宋体" w:cs="宋体"/>
                <w:sz w:val="18"/>
                <w:szCs w:val="18"/>
                <w:lang w:val="en-US" w:eastAsia="zh-CN"/>
              </w:rPr>
            </w:pPr>
          </w:p>
        </w:tc>
        <w:tc>
          <w:tcPr>
            <w:tcW w:w="1185" w:type="dxa"/>
            <w:shd w:val="clear" w:color="auto" w:fill="auto"/>
            <w:vAlign w:val="center"/>
          </w:tcPr>
          <w:p w14:paraId="12AFD20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3630" w:type="dxa"/>
            <w:shd w:val="clear" w:color="auto" w:fill="auto"/>
            <w:vAlign w:val="center"/>
          </w:tcPr>
          <w:p w14:paraId="252C2BAC">
            <w:pPr>
              <w:keepNext w:val="0"/>
              <w:keepLines w:val="0"/>
              <w:pageBreakBefore w:val="0"/>
              <w:widowControl/>
              <w:kinsoku/>
              <w:wordWrap/>
              <w:overflowPunct/>
              <w:topLinePunct w:val="0"/>
              <w:autoSpaceDE/>
              <w:autoSpaceDN/>
              <w:bidi w:val="0"/>
              <w:adjustRightInd w:val="0"/>
              <w:snapToGrid w:val="0"/>
              <w:spacing w:after="100"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FF0000"/>
                <w:sz w:val="32"/>
                <w:szCs w:val="32"/>
                <w:lang w:val="en-US" w:eastAsia="zh-CN"/>
              </w:rPr>
              <w:t>（报价单位填写）</w:t>
            </w:r>
          </w:p>
        </w:tc>
        <w:tc>
          <w:tcPr>
            <w:tcW w:w="750" w:type="dxa"/>
            <w:vMerge w:val="continue"/>
            <w:shd w:val="clear" w:color="auto" w:fill="auto"/>
            <w:vAlign w:val="center"/>
          </w:tcPr>
          <w:p w14:paraId="11F4D8E3">
            <w:pPr>
              <w:widowControl w:val="0"/>
              <w:jc w:val="center"/>
              <w:rPr>
                <w:rFonts w:hint="eastAsia" w:ascii="宋体" w:hAnsi="宋体" w:eastAsia="宋体" w:cs="宋体"/>
                <w:kern w:val="2"/>
                <w:sz w:val="21"/>
                <w:szCs w:val="21"/>
                <w:vertAlign w:val="baseline"/>
                <w:lang w:val="en-US" w:eastAsia="zh-CN" w:bidi="ar-SA"/>
              </w:rPr>
            </w:pPr>
          </w:p>
        </w:tc>
        <w:tc>
          <w:tcPr>
            <w:tcW w:w="795" w:type="dxa"/>
            <w:vMerge w:val="continue"/>
            <w:shd w:val="clear" w:color="auto" w:fill="auto"/>
            <w:vAlign w:val="center"/>
          </w:tcPr>
          <w:p w14:paraId="0D700229">
            <w:pPr>
              <w:widowControl w:val="0"/>
              <w:jc w:val="center"/>
              <w:rPr>
                <w:rFonts w:hint="eastAsia" w:ascii="宋体" w:hAnsi="宋体" w:cs="宋体"/>
                <w:sz w:val="21"/>
                <w:szCs w:val="21"/>
                <w:vertAlign w:val="baseline"/>
                <w:lang w:val="en-US" w:eastAsia="zh-CN"/>
              </w:rPr>
            </w:pPr>
          </w:p>
        </w:tc>
        <w:tc>
          <w:tcPr>
            <w:tcW w:w="1015" w:type="dxa"/>
            <w:vMerge w:val="continue"/>
            <w:shd w:val="clear" w:color="auto" w:fill="auto"/>
            <w:vAlign w:val="center"/>
          </w:tcPr>
          <w:p w14:paraId="615ADC03">
            <w:pPr>
              <w:widowControl w:val="0"/>
              <w:jc w:val="center"/>
              <w:rPr>
                <w:rFonts w:hint="default" w:ascii="宋体" w:hAnsi="宋体" w:eastAsia="宋体" w:cs="宋体"/>
                <w:kern w:val="2"/>
                <w:sz w:val="21"/>
                <w:szCs w:val="21"/>
                <w:vertAlign w:val="baseline"/>
                <w:lang w:val="en-US" w:eastAsia="zh-CN" w:bidi="ar-SA"/>
              </w:rPr>
            </w:pPr>
          </w:p>
        </w:tc>
        <w:tc>
          <w:tcPr>
            <w:tcW w:w="1305" w:type="dxa"/>
            <w:vMerge w:val="continue"/>
            <w:shd w:val="clear" w:color="auto" w:fill="auto"/>
            <w:vAlign w:val="center"/>
          </w:tcPr>
          <w:p w14:paraId="0AF766E0">
            <w:pPr>
              <w:widowControl w:val="0"/>
              <w:jc w:val="center"/>
              <w:rPr>
                <w:rFonts w:hint="default" w:ascii="宋体" w:hAnsi="宋体" w:eastAsia="宋体" w:cs="宋体"/>
                <w:kern w:val="2"/>
                <w:sz w:val="18"/>
                <w:szCs w:val="21"/>
                <w:vertAlign w:val="baseline"/>
                <w:lang w:val="en-US" w:eastAsia="zh-CN" w:bidi="ar-SA"/>
              </w:rPr>
            </w:pPr>
          </w:p>
        </w:tc>
        <w:tc>
          <w:tcPr>
            <w:tcW w:w="1545" w:type="dxa"/>
            <w:vMerge w:val="continue"/>
            <w:shd w:val="clear" w:color="auto" w:fill="auto"/>
            <w:vAlign w:val="center"/>
          </w:tcPr>
          <w:p w14:paraId="17C1AD43">
            <w:pPr>
              <w:widowControl w:val="0"/>
              <w:jc w:val="center"/>
              <w:rPr>
                <w:rFonts w:hint="default" w:ascii="宋体" w:hAnsi="宋体" w:eastAsia="宋体" w:cs="宋体"/>
                <w:kern w:val="2"/>
                <w:sz w:val="18"/>
                <w:szCs w:val="21"/>
                <w:vertAlign w:val="baseline"/>
                <w:lang w:val="en-US" w:eastAsia="zh-CN" w:bidi="ar-SA"/>
              </w:rPr>
            </w:pPr>
          </w:p>
        </w:tc>
      </w:tr>
      <w:tr w14:paraId="1E6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25" w:type="dxa"/>
            <w:vMerge w:val="restart"/>
            <w:shd w:val="clear" w:color="auto" w:fill="auto"/>
            <w:vAlign w:val="center"/>
          </w:tcPr>
          <w:p w14:paraId="4B09DF32">
            <w:pPr>
              <w:widowControl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85" w:type="dxa"/>
            <w:shd w:val="clear" w:color="auto" w:fill="auto"/>
            <w:vAlign w:val="center"/>
          </w:tcPr>
          <w:p w14:paraId="7106E6B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立式空调</w:t>
            </w:r>
          </w:p>
        </w:tc>
        <w:tc>
          <w:tcPr>
            <w:tcW w:w="3630" w:type="dxa"/>
            <w:shd w:val="clear" w:color="auto" w:fill="auto"/>
            <w:vAlign w:val="center"/>
          </w:tcPr>
          <w:p w14:paraId="5851122E">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制冷功率：2090W</w:t>
            </w:r>
          </w:p>
          <w:p w14:paraId="12EEC33E">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制热功率：3120W</w:t>
            </w:r>
          </w:p>
          <w:p w14:paraId="62D8265B">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制冷量：7300W</w:t>
            </w:r>
          </w:p>
          <w:p w14:paraId="7A2288B7">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制热量：9750W</w:t>
            </w:r>
          </w:p>
          <w:p w14:paraId="5A44F203">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电辅加热功率：1000W</w:t>
            </w:r>
          </w:p>
          <w:p w14:paraId="30955847">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质保期：十年质保</w:t>
            </w:r>
          </w:p>
          <w:p w14:paraId="4DBD1B72">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能效等级：一级能效</w:t>
            </w:r>
          </w:p>
          <w:p w14:paraId="41E3ADBD">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是否变频：是</w:t>
            </w:r>
          </w:p>
          <w:p w14:paraId="7A8236B0">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匹数：3匹</w:t>
            </w:r>
          </w:p>
          <w:p w14:paraId="6805DE5B">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冷暖类型：冷暖</w:t>
            </w:r>
          </w:p>
          <w:p w14:paraId="282D0EBC">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功能：自清洁、除霜、除菌</w:t>
            </w:r>
          </w:p>
          <w:p w14:paraId="78BC9AFB">
            <w:pPr>
              <w:keepNext w:val="0"/>
              <w:keepLines w:val="0"/>
              <w:pageBreakBefore w:val="0"/>
              <w:widowControl/>
              <w:kinsoku/>
              <w:wordWrap/>
              <w:overflowPunct/>
              <w:topLinePunct w:val="0"/>
              <w:autoSpaceDE/>
              <w:autoSpaceDN/>
              <w:bidi w:val="0"/>
              <w:adjustRightInd w:val="0"/>
              <w:snapToGrid w:val="0"/>
              <w:spacing w:after="100"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循环风量：1410m3/h</w:t>
            </w:r>
          </w:p>
        </w:tc>
        <w:tc>
          <w:tcPr>
            <w:tcW w:w="750" w:type="dxa"/>
            <w:vMerge w:val="restart"/>
            <w:shd w:val="clear" w:color="auto" w:fill="auto"/>
            <w:vAlign w:val="center"/>
          </w:tcPr>
          <w:p w14:paraId="236720CF">
            <w:pPr>
              <w:widowControl w:val="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台</w:t>
            </w:r>
          </w:p>
        </w:tc>
        <w:tc>
          <w:tcPr>
            <w:tcW w:w="795" w:type="dxa"/>
            <w:vMerge w:val="restart"/>
            <w:shd w:val="clear" w:color="auto" w:fill="auto"/>
            <w:vAlign w:val="center"/>
          </w:tcPr>
          <w:p w14:paraId="5DCD2C5A">
            <w:pPr>
              <w:widowControl w:val="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1015" w:type="dxa"/>
            <w:vMerge w:val="restart"/>
            <w:shd w:val="clear" w:color="auto" w:fill="auto"/>
            <w:vAlign w:val="center"/>
          </w:tcPr>
          <w:p w14:paraId="1EF5BA13">
            <w:pPr>
              <w:widowControl w:val="0"/>
              <w:jc w:val="center"/>
              <w:rPr>
                <w:rFonts w:hint="default" w:ascii="宋体" w:hAnsi="宋体" w:eastAsia="宋体" w:cs="宋体"/>
                <w:kern w:val="2"/>
                <w:sz w:val="21"/>
                <w:szCs w:val="21"/>
                <w:vertAlign w:val="baseline"/>
                <w:lang w:val="en-US" w:eastAsia="zh-CN" w:bidi="ar-SA"/>
              </w:rPr>
            </w:pPr>
          </w:p>
        </w:tc>
        <w:tc>
          <w:tcPr>
            <w:tcW w:w="1305" w:type="dxa"/>
            <w:vMerge w:val="restart"/>
            <w:shd w:val="clear" w:color="auto" w:fill="auto"/>
            <w:vAlign w:val="center"/>
          </w:tcPr>
          <w:p w14:paraId="71D68925">
            <w:pPr>
              <w:widowControl w:val="0"/>
              <w:jc w:val="center"/>
              <w:rPr>
                <w:rFonts w:hint="default" w:ascii="宋体" w:hAnsi="宋体" w:eastAsia="宋体" w:cs="宋体"/>
                <w:kern w:val="2"/>
                <w:sz w:val="18"/>
                <w:szCs w:val="21"/>
                <w:vertAlign w:val="baseline"/>
                <w:lang w:val="en-US" w:eastAsia="zh-CN" w:bidi="ar-SA"/>
              </w:rPr>
            </w:pPr>
          </w:p>
        </w:tc>
        <w:tc>
          <w:tcPr>
            <w:tcW w:w="1545" w:type="dxa"/>
            <w:vMerge w:val="continue"/>
            <w:shd w:val="clear" w:color="auto" w:fill="auto"/>
            <w:vAlign w:val="center"/>
          </w:tcPr>
          <w:p w14:paraId="44E913CA">
            <w:pPr>
              <w:widowControl w:val="0"/>
              <w:jc w:val="center"/>
              <w:rPr>
                <w:rFonts w:hint="default" w:ascii="宋体" w:hAnsi="宋体" w:eastAsia="宋体" w:cs="宋体"/>
                <w:kern w:val="2"/>
                <w:sz w:val="18"/>
                <w:szCs w:val="21"/>
                <w:vertAlign w:val="baseline"/>
                <w:lang w:val="en-US" w:eastAsia="zh-CN" w:bidi="ar-SA"/>
              </w:rPr>
            </w:pPr>
          </w:p>
        </w:tc>
      </w:tr>
      <w:tr w14:paraId="3524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Merge w:val="continue"/>
            <w:shd w:val="clear" w:color="auto" w:fill="auto"/>
            <w:vAlign w:val="center"/>
          </w:tcPr>
          <w:p w14:paraId="0629892D">
            <w:pPr>
              <w:widowControl w:val="0"/>
              <w:jc w:val="center"/>
              <w:rPr>
                <w:rFonts w:hint="eastAsia" w:ascii="宋体" w:hAnsi="宋体" w:eastAsia="宋体" w:cs="宋体"/>
                <w:sz w:val="18"/>
                <w:szCs w:val="18"/>
                <w:lang w:val="en-US" w:eastAsia="zh-CN"/>
              </w:rPr>
            </w:pPr>
          </w:p>
        </w:tc>
        <w:tc>
          <w:tcPr>
            <w:tcW w:w="1185" w:type="dxa"/>
            <w:shd w:val="clear" w:color="auto" w:fill="auto"/>
            <w:vAlign w:val="center"/>
          </w:tcPr>
          <w:p w14:paraId="04DBC00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3630" w:type="dxa"/>
            <w:shd w:val="clear" w:color="auto" w:fill="auto"/>
            <w:vAlign w:val="center"/>
          </w:tcPr>
          <w:p w14:paraId="038B9A38">
            <w:pPr>
              <w:keepNext w:val="0"/>
              <w:keepLines w:val="0"/>
              <w:pageBreakBefore w:val="0"/>
              <w:widowControl/>
              <w:kinsoku/>
              <w:wordWrap/>
              <w:overflowPunct/>
              <w:topLinePunct w:val="0"/>
              <w:autoSpaceDE/>
              <w:autoSpaceDN/>
              <w:bidi w:val="0"/>
              <w:adjustRightInd w:val="0"/>
              <w:snapToGrid w:val="0"/>
              <w:spacing w:after="100"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FF0000"/>
                <w:sz w:val="32"/>
                <w:szCs w:val="32"/>
                <w:lang w:val="en-US" w:eastAsia="zh-CN"/>
              </w:rPr>
              <w:t>（报价单位填写）</w:t>
            </w:r>
          </w:p>
        </w:tc>
        <w:tc>
          <w:tcPr>
            <w:tcW w:w="750" w:type="dxa"/>
            <w:vMerge w:val="continue"/>
            <w:shd w:val="clear" w:color="auto" w:fill="auto"/>
            <w:vAlign w:val="center"/>
          </w:tcPr>
          <w:p w14:paraId="75799E0A">
            <w:pPr>
              <w:widowControl w:val="0"/>
              <w:jc w:val="center"/>
              <w:rPr>
                <w:rFonts w:hint="eastAsia" w:ascii="宋体" w:hAnsi="宋体" w:eastAsia="宋体" w:cs="宋体"/>
                <w:kern w:val="2"/>
                <w:sz w:val="21"/>
                <w:szCs w:val="21"/>
                <w:vertAlign w:val="baseline"/>
                <w:lang w:val="en-US" w:eastAsia="zh-CN" w:bidi="ar-SA"/>
              </w:rPr>
            </w:pPr>
          </w:p>
        </w:tc>
        <w:tc>
          <w:tcPr>
            <w:tcW w:w="795" w:type="dxa"/>
            <w:vMerge w:val="continue"/>
            <w:shd w:val="clear" w:color="auto" w:fill="auto"/>
            <w:vAlign w:val="center"/>
          </w:tcPr>
          <w:p w14:paraId="6946B639">
            <w:pPr>
              <w:widowControl w:val="0"/>
              <w:jc w:val="center"/>
              <w:rPr>
                <w:rFonts w:hint="eastAsia" w:ascii="宋体" w:hAnsi="宋体" w:cs="宋体"/>
                <w:sz w:val="21"/>
                <w:szCs w:val="21"/>
                <w:vertAlign w:val="baseline"/>
                <w:lang w:val="en-US" w:eastAsia="zh-CN"/>
              </w:rPr>
            </w:pPr>
          </w:p>
        </w:tc>
        <w:tc>
          <w:tcPr>
            <w:tcW w:w="1015" w:type="dxa"/>
            <w:vMerge w:val="continue"/>
            <w:shd w:val="clear" w:color="auto" w:fill="auto"/>
            <w:vAlign w:val="center"/>
          </w:tcPr>
          <w:p w14:paraId="2F8F7D4A">
            <w:pPr>
              <w:widowControl w:val="0"/>
              <w:jc w:val="center"/>
              <w:rPr>
                <w:rFonts w:hint="default" w:ascii="宋体" w:hAnsi="宋体" w:eastAsia="宋体" w:cs="宋体"/>
                <w:kern w:val="2"/>
                <w:sz w:val="21"/>
                <w:szCs w:val="21"/>
                <w:vertAlign w:val="baseline"/>
                <w:lang w:val="en-US" w:eastAsia="zh-CN" w:bidi="ar-SA"/>
              </w:rPr>
            </w:pPr>
          </w:p>
        </w:tc>
        <w:tc>
          <w:tcPr>
            <w:tcW w:w="1305" w:type="dxa"/>
            <w:vMerge w:val="continue"/>
            <w:shd w:val="clear" w:color="auto" w:fill="auto"/>
            <w:vAlign w:val="center"/>
          </w:tcPr>
          <w:p w14:paraId="35907D95">
            <w:pPr>
              <w:widowControl w:val="0"/>
              <w:jc w:val="center"/>
              <w:rPr>
                <w:rFonts w:hint="default" w:ascii="宋体" w:hAnsi="宋体" w:eastAsia="宋体" w:cs="宋体"/>
                <w:kern w:val="2"/>
                <w:sz w:val="18"/>
                <w:szCs w:val="21"/>
                <w:vertAlign w:val="baseline"/>
                <w:lang w:val="en-US" w:eastAsia="zh-CN" w:bidi="ar-SA"/>
              </w:rPr>
            </w:pPr>
          </w:p>
        </w:tc>
        <w:tc>
          <w:tcPr>
            <w:tcW w:w="1545" w:type="dxa"/>
            <w:vMerge w:val="continue"/>
            <w:shd w:val="clear" w:color="auto" w:fill="auto"/>
            <w:vAlign w:val="center"/>
          </w:tcPr>
          <w:p w14:paraId="4760A9E3">
            <w:pPr>
              <w:widowControl w:val="0"/>
              <w:jc w:val="center"/>
              <w:rPr>
                <w:rFonts w:hint="default" w:ascii="宋体" w:hAnsi="宋体" w:eastAsia="宋体" w:cs="宋体"/>
                <w:kern w:val="2"/>
                <w:sz w:val="18"/>
                <w:szCs w:val="21"/>
                <w:vertAlign w:val="baseline"/>
                <w:lang w:val="en-US" w:eastAsia="zh-CN" w:bidi="ar-SA"/>
              </w:rPr>
            </w:pPr>
          </w:p>
        </w:tc>
      </w:tr>
      <w:tr w14:paraId="361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540" w:type="dxa"/>
            <w:gridSpan w:val="3"/>
            <w:shd w:val="clear" w:color="auto" w:fill="auto"/>
            <w:vAlign w:val="center"/>
          </w:tcPr>
          <w:p w14:paraId="65724E67">
            <w:pPr>
              <w:widowControl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合计（元）</w:t>
            </w:r>
          </w:p>
        </w:tc>
        <w:tc>
          <w:tcPr>
            <w:tcW w:w="5410" w:type="dxa"/>
            <w:gridSpan w:val="5"/>
            <w:shd w:val="clear" w:color="auto" w:fill="auto"/>
            <w:vAlign w:val="center"/>
          </w:tcPr>
          <w:p w14:paraId="66C6FB3C">
            <w:pPr>
              <w:widowControl w:val="0"/>
              <w:jc w:val="center"/>
              <w:rPr>
                <w:rFonts w:hint="default" w:ascii="宋体" w:hAnsi="宋体" w:eastAsia="宋体" w:cs="宋体"/>
                <w:b/>
                <w:bCs/>
                <w:sz w:val="21"/>
                <w:szCs w:val="24"/>
                <w:vertAlign w:val="baseline"/>
                <w:lang w:val="en-US" w:eastAsia="zh-CN"/>
              </w:rPr>
            </w:pPr>
          </w:p>
        </w:tc>
      </w:tr>
    </w:tbl>
    <w:p w14:paraId="6F6C8E46">
      <w:pPr>
        <w:widowControl w:val="0"/>
        <w:adjustRightInd/>
        <w:snapToGrid/>
        <w:spacing w:after="0"/>
        <w:jc w:val="center"/>
        <w:rPr>
          <w:rFonts w:hint="eastAsia" w:ascii="Calibri" w:hAnsi="Calibri" w:eastAsia="宋体" w:cs="Times New Roman"/>
          <w:b/>
          <w:bCs/>
          <w:kern w:val="2"/>
          <w:sz w:val="28"/>
          <w:szCs w:val="36"/>
          <w:lang w:val="en-US" w:eastAsia="zh-CN"/>
        </w:rPr>
      </w:pPr>
      <w:r>
        <w:rPr>
          <w:rFonts w:hint="eastAsia" w:ascii="Calibri" w:hAnsi="Calibri" w:eastAsia="宋体" w:cs="Times New Roman"/>
          <w:b/>
          <w:bCs/>
          <w:kern w:val="2"/>
          <w:sz w:val="28"/>
          <w:szCs w:val="36"/>
        </w:rPr>
        <w:t>设备安装安全责任</w:t>
      </w:r>
      <w:r>
        <w:rPr>
          <w:rFonts w:hint="eastAsia" w:ascii="Calibri" w:hAnsi="Calibri" w:eastAsia="宋体" w:cs="Times New Roman"/>
          <w:b/>
          <w:bCs/>
          <w:kern w:val="2"/>
          <w:sz w:val="28"/>
          <w:szCs w:val="36"/>
          <w:lang w:val="en-US" w:eastAsia="zh-CN"/>
        </w:rPr>
        <w:t>协议书</w:t>
      </w:r>
    </w:p>
    <w:p w14:paraId="370CEE32">
      <w:pPr>
        <w:widowControl w:val="0"/>
        <w:adjustRightInd/>
        <w:snapToGrid/>
        <w:spacing w:after="0"/>
        <w:jc w:val="left"/>
        <w:rPr>
          <w:rFonts w:hint="eastAsia" w:ascii="Calibri" w:hAnsi="Calibri" w:eastAsia="宋体" w:cs="Times New Roman"/>
          <w:b/>
          <w:bCs/>
          <w:kern w:val="2"/>
          <w:sz w:val="28"/>
          <w:szCs w:val="28"/>
          <w:lang w:val="en-US" w:eastAsia="zh-CN"/>
        </w:rPr>
      </w:pPr>
      <w:r>
        <w:rPr>
          <w:rFonts w:hint="eastAsia" w:ascii="Calibri" w:hAnsi="Calibri" w:eastAsia="宋体" w:cs="Times New Roman"/>
          <w:b/>
          <w:bCs/>
          <w:kern w:val="2"/>
          <w:sz w:val="28"/>
          <w:szCs w:val="28"/>
          <w:lang w:val="en-US" w:eastAsia="zh-CN"/>
        </w:rPr>
        <w:t>甲方：</w:t>
      </w:r>
    </w:p>
    <w:p w14:paraId="7F2FA160">
      <w:pPr>
        <w:widowControl w:val="0"/>
        <w:adjustRightInd/>
        <w:snapToGrid/>
        <w:spacing w:after="0"/>
        <w:jc w:val="left"/>
        <w:rPr>
          <w:rFonts w:hint="default" w:ascii="Calibri" w:hAnsi="Calibri" w:eastAsia="宋体" w:cs="Times New Roman"/>
          <w:b/>
          <w:bCs/>
          <w:kern w:val="2"/>
          <w:sz w:val="28"/>
          <w:szCs w:val="28"/>
          <w:lang w:val="en-US" w:eastAsia="zh-CN"/>
        </w:rPr>
      </w:pPr>
      <w:r>
        <w:rPr>
          <w:rFonts w:hint="eastAsia" w:ascii="Calibri" w:hAnsi="Calibri" w:eastAsia="宋体" w:cs="Times New Roman"/>
          <w:b/>
          <w:bCs/>
          <w:kern w:val="2"/>
          <w:sz w:val="28"/>
          <w:szCs w:val="28"/>
          <w:lang w:val="en-US" w:eastAsia="zh-CN"/>
        </w:rPr>
        <w:t>乙方：</w:t>
      </w:r>
    </w:p>
    <w:p w14:paraId="0485990A">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 xml:space="preserve">鉴于乙方将为甲方进行 </w:t>
      </w:r>
      <w:r>
        <w:rPr>
          <w:rFonts w:hint="eastAsia" w:ascii="Calibri" w:hAnsi="Calibri" w:eastAsia="宋体" w:cs="Times New Roman"/>
          <w:kern w:val="2"/>
          <w:sz w:val="24"/>
          <w:szCs w:val="24"/>
          <w:u w:val="single"/>
          <w:lang w:val="en-US" w:eastAsia="zh-CN"/>
        </w:rPr>
        <w:t>空调</w:t>
      </w:r>
      <w:r>
        <w:rPr>
          <w:rFonts w:hint="eastAsia" w:ascii="Calibri" w:hAnsi="Calibri" w:eastAsia="宋体" w:cs="Times New Roman"/>
          <w:kern w:val="2"/>
          <w:sz w:val="24"/>
          <w:szCs w:val="24"/>
        </w:rPr>
        <w:t xml:space="preserve"> 的安装工作，为明确双方在设备安装过程中的安全责任，保障安装工作安全、顺利进行，依据国家相关法律法规，经双方友好协商，特签订本安全责任协议：</w:t>
      </w:r>
    </w:p>
    <w:p w14:paraId="61CFB2F9">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一、安全责任范围</w:t>
      </w:r>
    </w:p>
    <w:p w14:paraId="6D041860">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乙方责任：乙方负责整个设备安装施工期间施工现场的安全管理工作，包括但不限于安装人员的安全培训、施工设备及工具的安全检查与维护、施工现场安全防护设施的设置与维护等。对因乙方施工人员违规操作、安全措施不到位等乙方原因导致的一切安全事故（包括但不限于人身伤亡、财产损失）承担全部法律责任和经济赔偿责任。</w:t>
      </w:r>
    </w:p>
    <w:p w14:paraId="5E8455B1">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甲方责任：甲方应为乙方的安装工作提供符合安全要求的场地条件，确保场地不存在影响安装安全的潜在危险因素，如场地基础牢固、无障碍物等。同时，甲方有权对乙方的安装施工安全进行监督检查，提出合理的安全整改建议。但甲方不承担因乙方自身原因导致的安全事故责任 。</w:t>
      </w:r>
    </w:p>
    <w:p w14:paraId="4919B5E5">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二、安全管理要求</w:t>
      </w:r>
    </w:p>
    <w:p w14:paraId="7A61F3C2">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人员管理：乙方所有参与安装的人员必须具备相应的专业技能和从业资格，且身体健康，无妨碍从事安装工作的疾病或生理缺陷。乙方应在开工前向甲方提供安装人员名单及相关资质证明。在施工过程中，乙方应加强对施工人员的安全教育和管理，严禁施工人员酒后上岗、违规操作等行为 。</w:t>
      </w:r>
    </w:p>
    <w:p w14:paraId="53A8AB76">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设备与工具管理：乙方用于安装的所有设备和工具必须符合国家相关安全标准，且在使用前进行全面的安全检查，确保设备和工具性能良好、安全可靠。对于特种设备（如起重机、升降机</w:t>
      </w:r>
      <w:r>
        <w:rPr>
          <w:rFonts w:hint="eastAsia" w:ascii="Calibri" w:hAnsi="Calibri" w:eastAsia="宋体" w:cs="Times New Roman"/>
          <w:kern w:val="2"/>
          <w:sz w:val="24"/>
          <w:szCs w:val="24"/>
          <w:lang w:eastAsia="zh-CN"/>
        </w:rPr>
        <w:t>、</w:t>
      </w:r>
      <w:r>
        <w:rPr>
          <w:rFonts w:hint="eastAsia" w:ascii="Calibri" w:hAnsi="Calibri" w:eastAsia="宋体" w:cs="Times New Roman"/>
          <w:kern w:val="2"/>
          <w:sz w:val="24"/>
          <w:szCs w:val="24"/>
          <w:lang w:val="en-US" w:eastAsia="zh-CN"/>
        </w:rPr>
        <w:t>吊车</w:t>
      </w:r>
      <w:r>
        <w:rPr>
          <w:rFonts w:hint="eastAsia" w:ascii="Calibri" w:hAnsi="Calibri" w:eastAsia="宋体" w:cs="Times New Roman"/>
          <w:kern w:val="2"/>
          <w:sz w:val="24"/>
          <w:szCs w:val="24"/>
        </w:rPr>
        <w:t>等），乙方应提供设备的检验合格证明，并安排专人操作和维护 。</w:t>
      </w:r>
    </w:p>
    <w:p w14:paraId="11C2EC84">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安全防护措施：乙方应根据施工现场的实际情况，设置必要的安全防护设施，如安全围栏、警示标识、防护网等，防止无关人员进入施工现场，避免发生安全事故。在高处作业、动火作业等特殊作业时，乙方应严格遵守相关安全操作规程，采取有效的安全防护措施，如系安全带、</w:t>
      </w:r>
      <w:r>
        <w:rPr>
          <w:rFonts w:hint="eastAsia" w:ascii="Calibri" w:hAnsi="Calibri" w:eastAsia="宋体" w:cs="Times New Roman"/>
          <w:kern w:val="2"/>
          <w:sz w:val="24"/>
          <w:szCs w:val="24"/>
          <w:lang w:val="en-US" w:eastAsia="zh-CN"/>
        </w:rPr>
        <w:t>安全头盔、</w:t>
      </w:r>
      <w:r>
        <w:rPr>
          <w:rFonts w:hint="eastAsia" w:ascii="Calibri" w:hAnsi="Calibri" w:eastAsia="宋体" w:cs="Times New Roman"/>
          <w:kern w:val="2"/>
          <w:sz w:val="24"/>
          <w:szCs w:val="24"/>
        </w:rPr>
        <w:t>配备灭火器材等 。</w:t>
      </w:r>
    </w:p>
    <w:p w14:paraId="7D02F60D">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三、事故处理</w:t>
      </w:r>
    </w:p>
    <w:p w14:paraId="1415329D">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若在设备安装过程中发生安全事故，事故发生方应立即采取必要的救援措施，防止事故扩大，并及时通知对方。事故现场应妥善保护，以便进行事故调查。</w:t>
      </w:r>
    </w:p>
    <w:p w14:paraId="329D05FA">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对于因乙方原因导致的安全事故，乙方应负责事故的调查、处理和赔偿工作，承担因此产生的全部费用，包括但不限于医疗费用、丧葬费用、赔偿费用、事故处理费用等。甲方应积极配合乙方进行事故调查，但不承担任何费用和责任 。</w:t>
      </w:r>
    </w:p>
    <w:p w14:paraId="33D05461">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四、违约责任</w:t>
      </w:r>
    </w:p>
    <w:p w14:paraId="2DD3C5D2">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乙方违反本协议约定的安全管理要求，甲方有权要求乙方立即整改。若乙方拒不整改或整改后仍不符合安全要求，甲方有权扣除部分安装费用作为违约金，直至解除安装合同，并要求乙方承担因此给甲方造成的全部损失 。</w:t>
      </w:r>
    </w:p>
    <w:p w14:paraId="49AD740B">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若因乙方原因导致安全事故发生，除承担事故全部责任外，乙方还应按照事故造成损失金额的 [</w:t>
      </w:r>
      <w:r>
        <w:rPr>
          <w:rFonts w:hint="eastAsia" w:ascii="Calibri" w:hAnsi="Calibri" w:eastAsia="宋体" w:cs="Times New Roman"/>
          <w:kern w:val="2"/>
          <w:sz w:val="24"/>
          <w:szCs w:val="24"/>
          <w:lang w:val="en-US" w:eastAsia="zh-CN"/>
        </w:rPr>
        <w:t>80</w:t>
      </w:r>
      <w:r>
        <w:rPr>
          <w:rFonts w:hint="eastAsia" w:ascii="Calibri" w:hAnsi="Calibri" w:eastAsia="宋体" w:cs="Times New Roman"/>
          <w:kern w:val="2"/>
          <w:sz w:val="24"/>
          <w:szCs w:val="24"/>
        </w:rPr>
        <w:t>]% 向甲方支付违约金 。违约金不足以弥补甲方损失的，乙方还应继续赔偿 。</w:t>
      </w:r>
    </w:p>
    <w:p w14:paraId="1949BFC2">
      <w:pPr>
        <w:widowControl w:val="0"/>
        <w:adjustRightInd/>
        <w:snapToGrid/>
        <w:spacing w:after="0" w:line="360" w:lineRule="auto"/>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五、协议生效与终止</w:t>
      </w:r>
    </w:p>
    <w:p w14:paraId="7650CF46">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本协议自双方签字（盖章）之日起生效，与设备安装合同具有同等法律效力。本协议作为合同的附件，与设备</w:t>
      </w:r>
      <w:r>
        <w:rPr>
          <w:rFonts w:hint="eastAsia" w:ascii="Calibri" w:hAnsi="Calibri" w:eastAsia="宋体" w:cs="Times New Roman"/>
          <w:kern w:val="2"/>
          <w:sz w:val="24"/>
          <w:szCs w:val="24"/>
          <w:lang w:val="en-US" w:eastAsia="zh-CN"/>
        </w:rPr>
        <w:t>采购</w:t>
      </w:r>
      <w:r>
        <w:rPr>
          <w:rFonts w:hint="eastAsia" w:ascii="Calibri" w:hAnsi="Calibri" w:eastAsia="宋体" w:cs="Times New Roman"/>
          <w:kern w:val="2"/>
          <w:sz w:val="24"/>
          <w:szCs w:val="24"/>
        </w:rPr>
        <w:t>安装合同不可分割 。</w:t>
      </w:r>
    </w:p>
    <w:p w14:paraId="5B4FCA14">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本协议在设备安装工作全部完成且验收合格后终止。但对于在安装过程中发生的安全事故，双方的责任和义务不受本协议终止的影响，直至事故处理完毕 。</w:t>
      </w:r>
    </w:p>
    <w:p w14:paraId="38AE4ABA">
      <w:pPr>
        <w:widowControl w:val="0"/>
        <w:adjustRightInd/>
        <w:snapToGrid/>
        <w:spacing w:after="0"/>
        <w:jc w:val="both"/>
        <w:rPr>
          <w:rFonts w:hint="eastAsia" w:ascii="Calibri" w:hAnsi="Calibri" w:eastAsia="宋体" w:cs="Times New Roman"/>
          <w:kern w:val="2"/>
          <w:sz w:val="28"/>
          <w:szCs w:val="28"/>
        </w:rPr>
      </w:pP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14:paraId="3B1A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3174AD42">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甲</w:t>
            </w:r>
            <w:r>
              <w:rPr>
                <w:rFonts w:hint="eastAsia" w:ascii="宋体" w:hAnsi="宋体" w:eastAsia="宋体" w:cs="宋体"/>
                <w:b/>
                <w:bCs/>
                <w:kern w:val="2"/>
                <w:sz w:val="24"/>
                <w:szCs w:val="24"/>
                <w:lang w:eastAsia="zh-CN"/>
              </w:rPr>
              <w:t>方(盖章)</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157AA6AE">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乙方(盖章)</w:t>
            </w:r>
          </w:p>
        </w:tc>
      </w:tr>
      <w:tr w14:paraId="0E7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10D56F74">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单位名称：安徽省盛岳保安服务集团有限公司</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4D97B056">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w:t>
            </w:r>
          </w:p>
        </w:tc>
      </w:tr>
      <w:tr w14:paraId="61E9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center"/>
          </w:tcPr>
          <w:p w14:paraId="6D34C836">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法人或委托人签字：</w:t>
            </w:r>
          </w:p>
        </w:tc>
        <w:tc>
          <w:tcPr>
            <w:tcW w:w="4670" w:type="dxa"/>
            <w:tcBorders>
              <w:top w:val="single" w:color="auto" w:sz="4" w:space="0"/>
              <w:left w:val="single" w:color="auto" w:sz="4" w:space="0"/>
              <w:bottom w:val="single" w:color="auto" w:sz="4" w:space="0"/>
              <w:right w:val="single" w:color="auto" w:sz="4" w:space="0"/>
            </w:tcBorders>
            <w:noWrap w:val="0"/>
            <w:vAlign w:val="center"/>
          </w:tcPr>
          <w:p w14:paraId="406D9146">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法或委托人签字：</w:t>
            </w:r>
          </w:p>
        </w:tc>
      </w:tr>
      <w:tr w14:paraId="6C8F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669" w:type="dxa"/>
            <w:tcBorders>
              <w:top w:val="single" w:color="auto" w:sz="4" w:space="0"/>
              <w:left w:val="single" w:color="auto" w:sz="4" w:space="0"/>
              <w:bottom w:val="single" w:color="auto" w:sz="4" w:space="0"/>
              <w:right w:val="single" w:color="auto" w:sz="4" w:space="0"/>
            </w:tcBorders>
            <w:noWrap w:val="0"/>
            <w:vAlign w:val="bottom"/>
          </w:tcPr>
          <w:p w14:paraId="44967B13">
            <w:pPr>
              <w:widowControl w:val="0"/>
              <w:adjustRightInd/>
              <w:snapToGrid/>
              <w:spacing w:after="100" w:line="24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日</w:t>
            </w:r>
          </w:p>
        </w:tc>
        <w:tc>
          <w:tcPr>
            <w:tcW w:w="4670" w:type="dxa"/>
            <w:tcBorders>
              <w:top w:val="single" w:color="auto" w:sz="4" w:space="0"/>
              <w:left w:val="single" w:color="auto" w:sz="4" w:space="0"/>
              <w:bottom w:val="single" w:color="auto" w:sz="4" w:space="0"/>
              <w:right w:val="single" w:color="auto" w:sz="4" w:space="0"/>
            </w:tcBorders>
            <w:noWrap w:val="0"/>
            <w:vAlign w:val="bottom"/>
          </w:tcPr>
          <w:p w14:paraId="0D771D46">
            <w:pPr>
              <w:widowControl w:val="0"/>
              <w:adjustRightInd/>
              <w:snapToGrid/>
              <w:spacing w:after="100" w:line="24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eastAsia="zh-CN"/>
              </w:rPr>
              <w:t>日</w:t>
            </w:r>
          </w:p>
        </w:tc>
      </w:tr>
    </w:tbl>
    <w:p w14:paraId="65133AAB">
      <w:pPr>
        <w:widowControl w:val="0"/>
        <w:adjustRightInd/>
        <w:snapToGrid/>
        <w:spacing w:after="0"/>
        <w:jc w:val="both"/>
        <w:rPr>
          <w:rFonts w:hint="eastAsia" w:ascii="Calibri" w:hAnsi="Calibri" w:eastAsia="宋体" w:cs="Times New Roman"/>
          <w:kern w:val="2"/>
          <w:sz w:val="21"/>
          <w:szCs w:val="24"/>
        </w:rPr>
      </w:pPr>
    </w:p>
    <w:p w14:paraId="37508BB3">
      <w:pPr>
        <w:widowControl w:val="0"/>
        <w:adjustRightInd/>
        <w:snapToGrid/>
        <w:spacing w:after="0"/>
        <w:jc w:val="center"/>
        <w:rPr>
          <w:rFonts w:hint="eastAsia" w:ascii="Calibri" w:hAnsi="Calibri" w:eastAsia="宋体" w:cs="Times New Roman"/>
          <w:b/>
          <w:bCs/>
          <w:kern w:val="2"/>
          <w:sz w:val="32"/>
          <w:szCs w:val="40"/>
        </w:rPr>
      </w:pPr>
    </w:p>
    <w:p w14:paraId="0B4F4421">
      <w:pPr>
        <w:widowControl w:val="0"/>
        <w:adjustRightInd/>
        <w:snapToGrid/>
        <w:spacing w:after="0"/>
        <w:jc w:val="center"/>
        <w:rPr>
          <w:rFonts w:hint="eastAsia" w:ascii="Calibri" w:hAnsi="Calibri" w:eastAsia="宋体" w:cs="Times New Roman"/>
          <w:b/>
          <w:bCs/>
          <w:kern w:val="2"/>
          <w:sz w:val="32"/>
          <w:szCs w:val="40"/>
        </w:rPr>
      </w:pPr>
    </w:p>
    <w:p w14:paraId="32237AB7">
      <w:pPr>
        <w:widowControl w:val="0"/>
        <w:adjustRightInd/>
        <w:snapToGrid/>
        <w:spacing w:after="0"/>
        <w:jc w:val="center"/>
        <w:rPr>
          <w:rFonts w:hint="eastAsia" w:ascii="Calibri" w:hAnsi="Calibri" w:eastAsia="宋体" w:cs="Times New Roman"/>
          <w:b/>
          <w:bCs/>
          <w:kern w:val="2"/>
          <w:sz w:val="32"/>
          <w:szCs w:val="40"/>
        </w:rPr>
      </w:pPr>
      <w:r>
        <w:rPr>
          <w:rFonts w:hint="eastAsia" w:ascii="Calibri" w:hAnsi="Calibri" w:eastAsia="宋体" w:cs="Times New Roman"/>
          <w:b/>
          <w:bCs/>
          <w:kern w:val="2"/>
          <w:sz w:val="32"/>
          <w:szCs w:val="40"/>
        </w:rPr>
        <w:t>空调采购安装合同</w:t>
      </w:r>
    </w:p>
    <w:p w14:paraId="2E201675">
      <w:pPr>
        <w:widowControl w:val="0"/>
        <w:adjustRightInd/>
        <w:snapToGrid/>
        <w:spacing w:after="0"/>
        <w:jc w:val="center"/>
        <w:rPr>
          <w:rFonts w:hint="eastAsia" w:ascii="Calibri" w:hAnsi="Calibri" w:eastAsia="宋体" w:cs="Times New Roman"/>
          <w:b/>
          <w:bCs/>
          <w:kern w:val="2"/>
          <w:sz w:val="24"/>
          <w:szCs w:val="32"/>
        </w:rPr>
      </w:pPr>
    </w:p>
    <w:p w14:paraId="6B321CF1">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根据《中华人民共和国民法典》及相关法律法规的规定，在平等、自愿、公平、诚实信用的基础上，甲乙双方就甲方采购乙方空调设备并由乙方负责安装事宜，经友好协商，达成如下协议</w:t>
      </w:r>
      <w:r>
        <w:rPr>
          <w:rFonts w:hint="eastAsia" w:ascii="宋体" w:hAnsi="宋体" w:eastAsia="宋体" w:cs="宋体"/>
          <w:kern w:val="2"/>
          <w:sz w:val="24"/>
          <w:szCs w:val="24"/>
        </w:rPr>
        <w:t>（费用清单见</w:t>
      </w:r>
      <w:r>
        <w:rPr>
          <w:rFonts w:hint="eastAsia" w:ascii="宋体" w:hAnsi="宋体" w:eastAsia="宋体" w:cs="宋体"/>
          <w:kern w:val="2"/>
          <w:sz w:val="24"/>
          <w:szCs w:val="24"/>
          <w:lang w:val="en-US" w:eastAsia="zh-CN"/>
        </w:rPr>
        <w:t>附件</w:t>
      </w:r>
      <w:r>
        <w:rPr>
          <w:rFonts w:hint="eastAsia" w:ascii="宋体" w:hAnsi="宋体" w:eastAsia="宋体" w:cs="宋体"/>
          <w:kern w:val="2"/>
          <w:sz w:val="24"/>
          <w:szCs w:val="24"/>
        </w:rPr>
        <w:t>）</w:t>
      </w:r>
      <w:r>
        <w:rPr>
          <w:rFonts w:hint="eastAsia" w:ascii="Calibri" w:hAnsi="Calibri" w:eastAsia="宋体" w:cs="Times New Roman"/>
          <w:kern w:val="2"/>
          <w:sz w:val="24"/>
          <w:szCs w:val="24"/>
        </w:rPr>
        <w:t>：</w:t>
      </w:r>
      <w:r>
        <w:rPr>
          <w:rFonts w:hint="eastAsia" w:ascii="Calibri" w:hAnsi="Calibri" w:eastAsia="宋体" w:cs="Times New Roman"/>
          <w:kern w:val="2"/>
          <w:sz w:val="24"/>
          <w:szCs w:val="24"/>
        </w:rPr>
        <w:tab/>
      </w:r>
      <w:r>
        <w:rPr>
          <w:rFonts w:hint="eastAsia" w:ascii="Calibri" w:hAnsi="Calibri" w:eastAsia="宋体" w:cs="Times New Roman"/>
          <w:kern w:val="2"/>
          <w:sz w:val="24"/>
          <w:szCs w:val="24"/>
        </w:rPr>
        <w:tab/>
      </w:r>
      <w:r>
        <w:rPr>
          <w:rFonts w:hint="eastAsia" w:ascii="Calibri" w:hAnsi="Calibri" w:eastAsia="宋体" w:cs="Times New Roman"/>
          <w:kern w:val="2"/>
          <w:sz w:val="24"/>
          <w:szCs w:val="24"/>
        </w:rPr>
        <w:tab/>
      </w:r>
    </w:p>
    <w:p w14:paraId="57239AFD">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一</w:t>
      </w:r>
      <w:r>
        <w:rPr>
          <w:rFonts w:hint="eastAsia" w:ascii="Calibri" w:hAnsi="Calibri" w:eastAsia="宋体" w:cs="Times New Roman"/>
          <w:kern w:val="2"/>
          <w:sz w:val="24"/>
          <w:szCs w:val="24"/>
        </w:rPr>
        <w:t>、质量要求</w:t>
      </w:r>
    </w:p>
    <w:p w14:paraId="3E6C8136">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乙方所供应的空调设备</w:t>
      </w:r>
      <w:r>
        <w:rPr>
          <w:rFonts w:hint="eastAsia" w:ascii="Calibri" w:hAnsi="Calibri" w:eastAsia="宋体" w:cs="Times New Roman"/>
          <w:kern w:val="2"/>
          <w:sz w:val="24"/>
          <w:szCs w:val="24"/>
          <w:lang w:val="en-US" w:eastAsia="zh-CN"/>
        </w:rPr>
        <w:t>及配件</w:t>
      </w:r>
      <w:r>
        <w:rPr>
          <w:rFonts w:hint="eastAsia" w:ascii="Calibri" w:hAnsi="Calibri" w:eastAsia="宋体" w:cs="Times New Roman"/>
          <w:kern w:val="2"/>
          <w:sz w:val="24"/>
          <w:szCs w:val="24"/>
        </w:rPr>
        <w:t>必须是全新、未使用过的，符合国家相关质量标准以及本合同约定的技术参数和配置要求。设备应附带产品合格证书、质量检验报告、使用说明书等相关资料。</w:t>
      </w:r>
    </w:p>
    <w:p w14:paraId="2EAE483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在正常使用和维护条件下，空调设备的质保期为自验收合格之日起</w:t>
      </w:r>
      <w:r>
        <w:rPr>
          <w:rFonts w:hint="eastAsia" w:ascii="Calibri" w:hAnsi="Calibri" w:eastAsia="宋体" w:cs="Times New Roman"/>
          <w:kern w:val="2"/>
          <w:sz w:val="24"/>
          <w:szCs w:val="24"/>
          <w:lang w:val="en-US" w:eastAsia="zh-CN"/>
        </w:rPr>
        <w:t>10</w:t>
      </w:r>
      <w:r>
        <w:rPr>
          <w:rFonts w:hint="eastAsia" w:ascii="Calibri" w:hAnsi="Calibri" w:eastAsia="宋体" w:cs="Times New Roman"/>
          <w:kern w:val="2"/>
          <w:sz w:val="24"/>
          <w:szCs w:val="24"/>
        </w:rPr>
        <w:t>年。在质保期内，如设备出现质量问题，乙方应负责免费维修或更换。</w:t>
      </w:r>
    </w:p>
    <w:p w14:paraId="7A84269B">
      <w:pPr>
        <w:keepNext w:val="0"/>
        <w:keepLines w:val="0"/>
        <w:pageBreakBefore w:val="0"/>
        <w:widowControl w:val="0"/>
        <w:numPr>
          <w:ilvl w:val="0"/>
          <w:numId w:val="2"/>
        </w:numPr>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交货及安装</w:t>
      </w:r>
    </w:p>
    <w:p w14:paraId="2EB63679">
      <w:pPr>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80" w:firstLineChars="200"/>
        <w:jc w:val="both"/>
        <w:textAlignment w:val="auto"/>
        <w:rPr>
          <w:rFonts w:hint="default"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安装地点</w:t>
      </w:r>
      <w:r>
        <w:rPr>
          <w:rFonts w:hint="eastAsia" w:ascii="Calibri" w:hAnsi="Calibri" w:eastAsia="宋体" w:cs="Times New Roman"/>
          <w:kern w:val="2"/>
          <w:sz w:val="24"/>
          <w:szCs w:val="24"/>
        </w:rPr>
        <w:t>：</w:t>
      </w:r>
      <w:r>
        <w:rPr>
          <w:rFonts w:hint="eastAsia" w:ascii="Calibri" w:hAnsi="Calibri" w:eastAsia="宋体" w:cs="Times New Roman"/>
          <w:kern w:val="2"/>
          <w:sz w:val="24"/>
          <w:szCs w:val="24"/>
          <w:lang w:val="en-US" w:eastAsia="zh-CN"/>
        </w:rPr>
        <w:t>前进北路四号（十字街原资规局办公楼）</w:t>
      </w:r>
    </w:p>
    <w:p w14:paraId="6F082204">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lang w:val="en-US" w:eastAsia="zh-CN"/>
        </w:rPr>
        <w:t>交付</w:t>
      </w:r>
      <w:r>
        <w:rPr>
          <w:rFonts w:hint="eastAsia" w:ascii="Calibri" w:hAnsi="Calibri" w:eastAsia="宋体" w:cs="Times New Roman"/>
          <w:kern w:val="2"/>
          <w:sz w:val="24"/>
          <w:szCs w:val="24"/>
        </w:rPr>
        <w:t>时间：乙方应在</w:t>
      </w:r>
      <w:r>
        <w:rPr>
          <w:rFonts w:hint="eastAsia" w:ascii="Calibri" w:hAnsi="Calibri" w:eastAsia="宋体" w:cs="Times New Roman"/>
          <w:kern w:val="2"/>
          <w:sz w:val="24"/>
          <w:szCs w:val="24"/>
          <w:lang w:val="en-US" w:eastAsia="zh-CN"/>
        </w:rPr>
        <w:t>合同签订后30天内</w:t>
      </w:r>
      <w:r>
        <w:rPr>
          <w:rFonts w:hint="eastAsia" w:ascii="Calibri" w:hAnsi="Calibri" w:eastAsia="宋体" w:cs="Times New Roman"/>
          <w:kern w:val="2"/>
          <w:sz w:val="24"/>
          <w:szCs w:val="24"/>
        </w:rPr>
        <w:t>完成全部空调设备的安装调试工作，确保设备正常运行</w:t>
      </w:r>
      <w:r>
        <w:rPr>
          <w:rFonts w:hint="eastAsia" w:ascii="Calibri" w:hAnsi="Calibri" w:eastAsia="宋体" w:cs="Times New Roman"/>
          <w:kern w:val="2"/>
          <w:sz w:val="24"/>
          <w:szCs w:val="24"/>
          <w:lang w:eastAsia="zh-CN"/>
        </w:rPr>
        <w:t>。</w:t>
      </w:r>
    </w:p>
    <w:p w14:paraId="4B43649A">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安装标准：乙方应按照国家相关安装规范以及设备生产厂家的安装要求进行安装，确保安装质量牢固、安全，空调系统运行稳定、正常。</w:t>
      </w:r>
    </w:p>
    <w:p w14:paraId="0932F86C">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三</w:t>
      </w:r>
      <w:r>
        <w:rPr>
          <w:rFonts w:hint="eastAsia" w:ascii="Calibri" w:hAnsi="Calibri" w:eastAsia="宋体" w:cs="Times New Roman"/>
          <w:kern w:val="2"/>
          <w:sz w:val="24"/>
          <w:szCs w:val="24"/>
        </w:rPr>
        <w:t>、验收</w:t>
      </w:r>
    </w:p>
    <w:p w14:paraId="59A00D28">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安装调试完成后，乙方应通知甲方进行验收。甲方应在接到通知后的</w:t>
      </w:r>
      <w:r>
        <w:rPr>
          <w:rFonts w:hint="eastAsia" w:ascii="Calibri" w:hAnsi="Calibri" w:eastAsia="宋体" w:cs="Times New Roman"/>
          <w:kern w:val="2"/>
          <w:sz w:val="24"/>
          <w:szCs w:val="24"/>
          <w:lang w:val="en-US" w:eastAsia="zh-CN"/>
        </w:rPr>
        <w:t>10</w:t>
      </w:r>
      <w:r>
        <w:rPr>
          <w:rFonts w:hint="eastAsia" w:ascii="Calibri" w:hAnsi="Calibri" w:eastAsia="宋体" w:cs="Times New Roman"/>
          <w:kern w:val="2"/>
          <w:sz w:val="24"/>
          <w:szCs w:val="24"/>
        </w:rPr>
        <w:t>个工作日内组织验收。</w:t>
      </w:r>
    </w:p>
    <w:p w14:paraId="5EAC585C">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验收标准：依据本合同约定的设备规格、质量要求、安装标准以及国家相关标准进行验收。验收内容包括设备的外观、数量、运行性能、安装质量等方面。</w:t>
      </w:r>
    </w:p>
    <w:p w14:paraId="15C15462">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验收合格后，双方应签署验收合格报告。如验收不合格，乙方应负责立即整改，直至验收合格为止。整改期限不计入质保期，且由此产生的一切费用由乙方承担。</w:t>
      </w:r>
    </w:p>
    <w:p w14:paraId="394AE98A">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四</w:t>
      </w:r>
      <w:r>
        <w:rPr>
          <w:rFonts w:hint="eastAsia" w:ascii="Calibri" w:hAnsi="Calibri" w:eastAsia="宋体" w:cs="Times New Roman"/>
          <w:kern w:val="2"/>
          <w:sz w:val="24"/>
          <w:szCs w:val="24"/>
        </w:rPr>
        <w:t>、付款方式</w:t>
      </w:r>
    </w:p>
    <w:p w14:paraId="1350E3CB">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default" w:ascii="Calibri" w:hAnsi="Calibri" w:eastAsia="宋体" w:cs="Times New Roman"/>
          <w:kern w:val="2"/>
          <w:sz w:val="24"/>
          <w:szCs w:val="24"/>
          <w:u w:val="single"/>
          <w:lang w:val="en-US"/>
        </w:rPr>
      </w:pPr>
      <w:r>
        <w:rPr>
          <w:rFonts w:hint="eastAsia" w:ascii="Calibri" w:hAnsi="Calibri" w:eastAsia="宋体" w:cs="Times New Roman"/>
          <w:kern w:val="2"/>
          <w:sz w:val="24"/>
          <w:szCs w:val="24"/>
        </w:rPr>
        <w:t xml:space="preserve">空调设备安装调试完毕并经甲方最终验收合格后 </w:t>
      </w:r>
      <w:r>
        <w:rPr>
          <w:rFonts w:hint="eastAsia" w:ascii="Calibri" w:hAnsi="Calibri" w:eastAsia="宋体" w:cs="Times New Roman"/>
          <w:kern w:val="2"/>
          <w:sz w:val="24"/>
          <w:szCs w:val="24"/>
          <w:lang w:val="en-US" w:eastAsia="zh-CN"/>
        </w:rPr>
        <w:t>30</w:t>
      </w:r>
      <w:r>
        <w:rPr>
          <w:rFonts w:hint="eastAsia" w:ascii="Calibri" w:hAnsi="Calibri" w:eastAsia="宋体" w:cs="Times New Roman"/>
          <w:kern w:val="2"/>
          <w:sz w:val="24"/>
          <w:szCs w:val="24"/>
        </w:rPr>
        <w:t>个工作日内，甲方向乙方支付合同总价的</w:t>
      </w:r>
      <w:r>
        <w:rPr>
          <w:rFonts w:hint="eastAsia" w:ascii="Calibri" w:hAnsi="Calibri" w:eastAsia="宋体" w:cs="Times New Roman"/>
          <w:kern w:val="2"/>
          <w:sz w:val="24"/>
          <w:szCs w:val="24"/>
          <w:lang w:val="en-US" w:eastAsia="zh-CN"/>
        </w:rPr>
        <w:t>95</w:t>
      </w:r>
      <w:r>
        <w:rPr>
          <w:rFonts w:hint="eastAsia" w:ascii="Calibri" w:hAnsi="Calibri" w:eastAsia="宋体" w:cs="Times New Roman"/>
          <w:kern w:val="2"/>
          <w:sz w:val="24"/>
          <w:szCs w:val="24"/>
        </w:rPr>
        <w:t>%，即人民币</w:t>
      </w:r>
      <w:r>
        <w:rPr>
          <w:rFonts w:hint="eastAsia" w:ascii="Calibri" w:hAnsi="Calibri" w:eastAsia="宋体" w:cs="Times New Roman"/>
          <w:kern w:val="2"/>
          <w:sz w:val="24"/>
          <w:szCs w:val="24"/>
          <w:u w:val="single"/>
          <w:lang w:val="en-US" w:eastAsia="zh-CN"/>
        </w:rPr>
        <w:t xml:space="preserve">                                     </w:t>
      </w:r>
    </w:p>
    <w:p w14:paraId="13AD9017">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合同总价的</w:t>
      </w:r>
      <w:r>
        <w:rPr>
          <w:rFonts w:hint="eastAsia" w:ascii="Calibri" w:hAnsi="Calibri" w:eastAsia="宋体" w:cs="Times New Roman"/>
          <w:kern w:val="2"/>
          <w:sz w:val="24"/>
          <w:szCs w:val="24"/>
          <w:lang w:val="en-US" w:eastAsia="zh-CN"/>
        </w:rPr>
        <w:t>5</w:t>
      </w:r>
      <w:r>
        <w:rPr>
          <w:rFonts w:hint="eastAsia" w:ascii="Calibri" w:hAnsi="Calibri" w:eastAsia="宋体" w:cs="Times New Roman"/>
          <w:kern w:val="2"/>
          <w:sz w:val="24"/>
          <w:szCs w:val="24"/>
        </w:rPr>
        <w:t>% 作为质量保证金，</w:t>
      </w:r>
      <w:r>
        <w:rPr>
          <w:rFonts w:hint="eastAsia" w:ascii="Calibri" w:hAnsi="Calibri" w:eastAsia="宋体" w:cs="Times New Roman"/>
          <w:kern w:val="2"/>
          <w:sz w:val="24"/>
          <w:szCs w:val="24"/>
          <w:lang w:val="en-US" w:eastAsia="zh-CN"/>
        </w:rPr>
        <w:t>甲方</w:t>
      </w:r>
      <w:r>
        <w:rPr>
          <w:rFonts w:hint="eastAsia" w:ascii="Calibri" w:hAnsi="Calibri" w:eastAsia="宋体" w:cs="Times New Roman"/>
          <w:kern w:val="2"/>
          <w:sz w:val="24"/>
          <w:szCs w:val="24"/>
        </w:rPr>
        <w:t>在</w:t>
      </w:r>
      <w:r>
        <w:rPr>
          <w:rFonts w:hint="eastAsia" w:ascii="Calibri" w:hAnsi="Calibri" w:eastAsia="宋体" w:cs="Times New Roman"/>
          <w:kern w:val="2"/>
          <w:sz w:val="24"/>
          <w:szCs w:val="24"/>
          <w:lang w:val="en-US" w:eastAsia="zh-CN"/>
        </w:rPr>
        <w:t>验收日期后</w:t>
      </w:r>
      <w:r>
        <w:rPr>
          <w:rFonts w:hint="eastAsia" w:ascii="Calibri" w:hAnsi="Calibri" w:eastAsia="宋体" w:cs="Times New Roman"/>
          <w:kern w:val="2"/>
          <w:sz w:val="24"/>
          <w:szCs w:val="24"/>
        </w:rPr>
        <w:t>满</w:t>
      </w:r>
      <w:r>
        <w:rPr>
          <w:rFonts w:hint="eastAsia" w:ascii="Calibri" w:hAnsi="Calibri" w:eastAsia="宋体" w:cs="Times New Roman"/>
          <w:kern w:val="2"/>
          <w:sz w:val="24"/>
          <w:szCs w:val="24"/>
          <w:lang w:val="en-US" w:eastAsia="zh-CN"/>
        </w:rPr>
        <w:t>12个月</w:t>
      </w:r>
      <w:r>
        <w:rPr>
          <w:rFonts w:hint="eastAsia" w:ascii="Calibri" w:hAnsi="Calibri" w:eastAsia="宋体" w:cs="Times New Roman"/>
          <w:kern w:val="2"/>
          <w:sz w:val="24"/>
          <w:szCs w:val="24"/>
        </w:rPr>
        <w:t xml:space="preserve">且无质量问题后 </w:t>
      </w:r>
      <w:r>
        <w:rPr>
          <w:rFonts w:hint="eastAsia" w:ascii="Calibri" w:hAnsi="Calibri" w:eastAsia="宋体" w:cs="Times New Roman"/>
          <w:kern w:val="2"/>
          <w:sz w:val="24"/>
          <w:szCs w:val="24"/>
          <w:lang w:val="en-US" w:eastAsia="zh-CN"/>
        </w:rPr>
        <w:t>15</w:t>
      </w:r>
      <w:r>
        <w:rPr>
          <w:rFonts w:hint="eastAsia" w:ascii="Calibri" w:hAnsi="Calibri" w:eastAsia="宋体" w:cs="Times New Roman"/>
          <w:kern w:val="2"/>
          <w:sz w:val="24"/>
          <w:szCs w:val="24"/>
        </w:rPr>
        <w:t>个工作日内</w:t>
      </w:r>
      <w:r>
        <w:rPr>
          <w:rFonts w:hint="eastAsia" w:ascii="Calibri" w:hAnsi="Calibri" w:eastAsia="宋体" w:cs="Times New Roman"/>
          <w:kern w:val="2"/>
          <w:sz w:val="24"/>
          <w:szCs w:val="24"/>
          <w:lang w:val="en-US" w:eastAsia="zh-CN"/>
        </w:rPr>
        <w:t>向</w:t>
      </w:r>
      <w:r>
        <w:rPr>
          <w:rFonts w:hint="eastAsia" w:ascii="Calibri" w:hAnsi="Calibri" w:eastAsia="宋体" w:cs="Times New Roman"/>
          <w:kern w:val="2"/>
          <w:sz w:val="24"/>
          <w:szCs w:val="24"/>
        </w:rPr>
        <w:t>乙方无息支付</w:t>
      </w:r>
      <w:r>
        <w:rPr>
          <w:rFonts w:hint="eastAsia" w:ascii="Calibri" w:hAnsi="Calibri" w:eastAsia="宋体" w:cs="Times New Roman"/>
          <w:kern w:val="2"/>
          <w:sz w:val="24"/>
          <w:szCs w:val="24"/>
          <w:lang w:eastAsia="zh-CN"/>
        </w:rPr>
        <w:t>，</w:t>
      </w:r>
      <w:r>
        <w:rPr>
          <w:rFonts w:hint="eastAsia" w:ascii="Calibri" w:hAnsi="Calibri" w:eastAsia="宋体" w:cs="Times New Roman"/>
          <w:kern w:val="2"/>
          <w:sz w:val="24"/>
          <w:szCs w:val="24"/>
        </w:rPr>
        <w:t>即人民币</w:t>
      </w:r>
      <w:r>
        <w:rPr>
          <w:rFonts w:hint="eastAsia" w:ascii="Calibri" w:hAnsi="Calibri" w:eastAsia="宋体" w:cs="Times New Roman"/>
          <w:kern w:val="2"/>
          <w:sz w:val="24"/>
          <w:szCs w:val="24"/>
          <w:u w:val="single"/>
          <w:lang w:val="en-US" w:eastAsia="zh-CN"/>
        </w:rPr>
        <w:t xml:space="preserve">                          </w:t>
      </w:r>
    </w:p>
    <w:p w14:paraId="6C789D20">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五</w:t>
      </w:r>
      <w:r>
        <w:rPr>
          <w:rFonts w:hint="eastAsia" w:ascii="Calibri" w:hAnsi="Calibri" w:eastAsia="宋体" w:cs="Times New Roman"/>
          <w:kern w:val="2"/>
          <w:sz w:val="24"/>
          <w:szCs w:val="24"/>
        </w:rPr>
        <w:t>、双方权利与义务</w:t>
      </w:r>
    </w:p>
    <w:p w14:paraId="72E0018B">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（一）甲方权利与义务</w:t>
      </w:r>
    </w:p>
    <w:p w14:paraId="0A79C426">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有权要求乙方按照合同约定的时间、质量标准交付设备并完成安装调试工作。</w:t>
      </w:r>
    </w:p>
    <w:p w14:paraId="6C7B92DF">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按照合同约定及时支付货款。</w:t>
      </w:r>
    </w:p>
    <w:p w14:paraId="1BC56A2F">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rPr>
        <w:t>为乙方的交货、安装工作提供必要的协助</w:t>
      </w:r>
      <w:r>
        <w:rPr>
          <w:rFonts w:hint="eastAsia" w:ascii="Calibri" w:hAnsi="Calibri" w:eastAsia="宋体" w:cs="Times New Roman"/>
          <w:kern w:val="2"/>
          <w:sz w:val="24"/>
          <w:szCs w:val="24"/>
          <w:lang w:eastAsia="zh-CN"/>
        </w:rPr>
        <w:t>。</w:t>
      </w:r>
    </w:p>
    <w:p w14:paraId="4FA3177B">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（二）乙方权利与义务</w:t>
      </w:r>
    </w:p>
    <w:p w14:paraId="2B254AC2">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按照合同约定的时间、地点、质量标准供应合格的空调设备，并负责完成设备的安装调试工作，确保设备正常运行 。</w:t>
      </w:r>
    </w:p>
    <w:p w14:paraId="6ABEF002">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在质保期内，对设备出现的质量问题及时提供免费维修或更换服务。</w:t>
      </w:r>
    </w:p>
    <w:p w14:paraId="0EA4B91C">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六</w:t>
      </w:r>
      <w:r>
        <w:rPr>
          <w:rFonts w:hint="eastAsia" w:ascii="Calibri" w:hAnsi="Calibri" w:eastAsia="宋体" w:cs="Times New Roman"/>
          <w:kern w:val="2"/>
          <w:sz w:val="24"/>
          <w:szCs w:val="24"/>
        </w:rPr>
        <w:t>、违约责任</w:t>
      </w:r>
    </w:p>
    <w:p w14:paraId="0B86304F">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 xml:space="preserve">若甲方未按照合同约定支付货款，每逾期一日，应按照未付款项的 </w:t>
      </w:r>
      <w:r>
        <w:rPr>
          <w:rFonts w:hint="eastAsia" w:ascii="Calibri" w:hAnsi="Calibri" w:eastAsia="宋体" w:cs="Times New Roman"/>
          <w:kern w:val="2"/>
          <w:sz w:val="24"/>
          <w:szCs w:val="24"/>
          <w:lang w:val="en-US" w:eastAsia="zh-CN"/>
        </w:rPr>
        <w:t>0.1</w:t>
      </w:r>
      <w:r>
        <w:rPr>
          <w:rFonts w:hint="eastAsia" w:ascii="Calibri" w:hAnsi="Calibri" w:eastAsia="宋体" w:cs="Times New Roman"/>
          <w:kern w:val="2"/>
          <w:sz w:val="24"/>
          <w:szCs w:val="24"/>
        </w:rPr>
        <w:t>% 向乙方支付违约金。</w:t>
      </w:r>
    </w:p>
    <w:p w14:paraId="130CB05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rPr>
        <w:t xml:space="preserve">若乙方未按照合同约定的时间交货或完成安装调试工作，每逾期一日，应按照合同总价的 </w:t>
      </w:r>
      <w:r>
        <w:rPr>
          <w:rFonts w:hint="eastAsia" w:ascii="Calibri" w:hAnsi="Calibri" w:eastAsia="宋体" w:cs="Times New Roman"/>
          <w:kern w:val="2"/>
          <w:sz w:val="24"/>
          <w:szCs w:val="24"/>
          <w:lang w:val="en-US" w:eastAsia="zh-CN"/>
        </w:rPr>
        <w:t>0.1</w:t>
      </w:r>
      <w:r>
        <w:rPr>
          <w:rFonts w:hint="eastAsia" w:ascii="Calibri" w:hAnsi="Calibri" w:eastAsia="宋体" w:cs="Times New Roman"/>
          <w:kern w:val="2"/>
          <w:sz w:val="24"/>
          <w:szCs w:val="24"/>
        </w:rPr>
        <w:t>% 向甲方支付违约金 。逾期超过</w:t>
      </w:r>
      <w:r>
        <w:rPr>
          <w:rFonts w:hint="eastAsia" w:ascii="Calibri" w:hAnsi="Calibri" w:eastAsia="宋体" w:cs="Times New Roman"/>
          <w:kern w:val="2"/>
          <w:sz w:val="24"/>
          <w:szCs w:val="24"/>
          <w:lang w:val="en-US" w:eastAsia="zh-CN"/>
        </w:rPr>
        <w:t>7</w:t>
      </w:r>
      <w:r>
        <w:rPr>
          <w:rFonts w:hint="eastAsia" w:ascii="Calibri" w:hAnsi="Calibri" w:eastAsia="宋体" w:cs="Times New Roman"/>
          <w:kern w:val="2"/>
          <w:sz w:val="24"/>
          <w:szCs w:val="24"/>
        </w:rPr>
        <w:t>日的，甲方有权解除合同</w:t>
      </w:r>
      <w:r>
        <w:rPr>
          <w:rFonts w:hint="eastAsia" w:ascii="Calibri" w:hAnsi="Calibri" w:eastAsia="宋体" w:cs="Times New Roman"/>
          <w:kern w:val="2"/>
          <w:sz w:val="24"/>
          <w:szCs w:val="24"/>
          <w:lang w:eastAsia="zh-CN"/>
        </w:rPr>
        <w:t>。</w:t>
      </w:r>
    </w:p>
    <w:p w14:paraId="48F41E48">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若乙方供应的设备质量不符合合同约定或国家相关标准，乙方应负责无偿更换或维修，直至设备质量合格为止。由此造成的逾期交货或安装延误，乙方应承担相应的违约责任。</w:t>
      </w:r>
      <w:r>
        <w:rPr>
          <w:rFonts w:hint="eastAsia" w:ascii="Calibri" w:hAnsi="Calibri" w:eastAsia="宋体" w:cs="Times New Roman"/>
          <w:kern w:val="2"/>
          <w:sz w:val="24"/>
          <w:szCs w:val="24"/>
          <w:lang w:val="en-US" w:eastAsia="zh-CN"/>
        </w:rPr>
        <w:t>后续使用过程中</w:t>
      </w:r>
      <w:r>
        <w:rPr>
          <w:rFonts w:hint="eastAsia" w:ascii="Calibri" w:hAnsi="Calibri" w:eastAsia="宋体" w:cs="Times New Roman"/>
          <w:kern w:val="2"/>
          <w:sz w:val="24"/>
          <w:szCs w:val="24"/>
        </w:rPr>
        <w:t>如因设备质量问题给甲方</w:t>
      </w:r>
      <w:r>
        <w:rPr>
          <w:rFonts w:hint="eastAsia" w:ascii="Calibri" w:hAnsi="Calibri" w:eastAsia="宋体" w:cs="Times New Roman"/>
          <w:kern w:val="2"/>
          <w:sz w:val="24"/>
          <w:szCs w:val="24"/>
          <w:lang w:val="en-US" w:eastAsia="zh-CN"/>
        </w:rPr>
        <w:t>或其他人</w:t>
      </w:r>
      <w:r>
        <w:rPr>
          <w:rFonts w:hint="eastAsia" w:ascii="Calibri" w:hAnsi="Calibri" w:eastAsia="宋体" w:cs="Times New Roman"/>
          <w:kern w:val="2"/>
          <w:sz w:val="24"/>
          <w:szCs w:val="24"/>
        </w:rPr>
        <w:t>造成人身伤害或财产损失的，乙方应承担全部赔偿责任。</w:t>
      </w:r>
    </w:p>
    <w:p w14:paraId="0BA2ED5E">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七</w:t>
      </w:r>
      <w:r>
        <w:rPr>
          <w:rFonts w:hint="eastAsia" w:ascii="Calibri" w:hAnsi="Calibri" w:eastAsia="宋体" w:cs="Times New Roman"/>
          <w:kern w:val="2"/>
          <w:sz w:val="24"/>
          <w:szCs w:val="24"/>
        </w:rPr>
        <w:t>、争议解决</w:t>
      </w:r>
    </w:p>
    <w:p w14:paraId="2902BFC1">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本合同在履行过程中如发生争议，双方应首先友好协商解决；协商不成的，任何一方均有权向合同签订地有管辖权的人民法院提起诉讼 。</w:t>
      </w:r>
    </w:p>
    <w:p w14:paraId="41942E54">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rPr>
        <w:t>八</w:t>
      </w:r>
      <w:r>
        <w:rPr>
          <w:rFonts w:hint="eastAsia" w:ascii="Calibri" w:hAnsi="Calibri" w:eastAsia="宋体" w:cs="Times New Roman"/>
          <w:kern w:val="2"/>
          <w:sz w:val="24"/>
          <w:szCs w:val="24"/>
        </w:rPr>
        <w:t>、其他条款</w:t>
      </w:r>
    </w:p>
    <w:p w14:paraId="53CEC5D9">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本合同自双方签字（或盖章）之日起生效，一式两份，甲乙双方各执一份，具有同等法律效力。</w:t>
      </w:r>
    </w:p>
    <w:p w14:paraId="55391AFB">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本合同未尽事宜，可由双方另行签订补充协议。补充协议与本合同具有同等法律效力。补充协议内容与本合同不一致的，以补充协议为准 。</w:t>
      </w:r>
    </w:p>
    <w:p w14:paraId="2AC3FDA5">
      <w:pPr>
        <w:keepNext w:val="0"/>
        <w:keepLines w:val="0"/>
        <w:pageBreakBefore w:val="0"/>
        <w:widowControl w:val="0"/>
        <w:kinsoku/>
        <w:wordWrap/>
        <w:overflowPunct/>
        <w:topLinePunct w:val="0"/>
        <w:autoSpaceDE/>
        <w:autoSpaceDN/>
        <w:bidi w:val="0"/>
        <w:adjustRightInd/>
        <w:snapToGrid/>
        <w:spacing w:after="0" w:line="312" w:lineRule="auto"/>
        <w:ind w:firstLine="480" w:firstLineChars="200"/>
        <w:jc w:val="both"/>
        <w:textAlignment w:val="auto"/>
        <w:rPr>
          <w:rFonts w:hint="eastAsia" w:ascii="Calibri" w:hAnsi="Calibri" w:eastAsia="宋体" w:cs="Times New Roman"/>
          <w:kern w:val="2"/>
          <w:sz w:val="24"/>
          <w:szCs w:val="24"/>
        </w:rPr>
      </w:pP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5"/>
        <w:gridCol w:w="4534"/>
      </w:tblGrid>
      <w:tr w14:paraId="17D8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6D274E52">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甲</w:t>
            </w:r>
            <w:r>
              <w:rPr>
                <w:rFonts w:hint="eastAsia" w:ascii="宋体" w:hAnsi="宋体" w:eastAsia="宋体" w:cs="宋体"/>
                <w:b/>
                <w:bCs/>
                <w:kern w:val="2"/>
                <w:sz w:val="24"/>
                <w:szCs w:val="24"/>
                <w:lang w:eastAsia="zh-CN"/>
              </w:rPr>
              <w:t>方(盖章)</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36EF1099">
            <w:pPr>
              <w:widowControl w:val="0"/>
              <w:adjustRightInd/>
              <w:snapToGrid/>
              <w:spacing w:after="100" w:line="240" w:lineRule="auto"/>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乙方(盖章)</w:t>
            </w:r>
          </w:p>
        </w:tc>
      </w:tr>
      <w:tr w14:paraId="3E6F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72987DF1">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单位名称：安徽省盛岳保安服务集团有限公司</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001E781F">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w:t>
            </w:r>
          </w:p>
        </w:tc>
      </w:tr>
      <w:tr w14:paraId="72BF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4D2ED8DC">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单位地址：</w:t>
            </w:r>
            <w:bookmarkStart w:id="1" w:name="_GoBack"/>
            <w:bookmarkEnd w:id="1"/>
            <w:r>
              <w:rPr>
                <w:rFonts w:hint="eastAsia" w:ascii="宋体" w:hAnsi="宋体" w:eastAsia="宋体" w:cs="宋体"/>
                <w:kern w:val="2"/>
                <w:sz w:val="21"/>
                <w:szCs w:val="21"/>
                <w:lang w:eastAsia="zh-CN"/>
              </w:rPr>
              <w:t>安徽省安庆市岳西县</w:t>
            </w:r>
            <w:r>
              <w:rPr>
                <w:rFonts w:hint="eastAsia" w:ascii="宋体" w:hAnsi="宋体" w:eastAsia="宋体" w:cs="宋体"/>
                <w:kern w:val="2"/>
                <w:sz w:val="21"/>
                <w:szCs w:val="21"/>
                <w:lang w:val="en-US" w:eastAsia="zh-CN"/>
              </w:rPr>
              <w:t>南园路1号</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2B9E804D">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单位地址：</w:t>
            </w:r>
          </w:p>
        </w:tc>
      </w:tr>
      <w:tr w14:paraId="27F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5C332AB7">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税号：91340828772833520E</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3DBE3ED9">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税号：</w:t>
            </w:r>
          </w:p>
        </w:tc>
      </w:tr>
      <w:tr w14:paraId="5E75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78C9B0D1">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开户银行:岳西农村商业银行股份有限公司营业部</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3C6DCB6C">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w:t>
            </w:r>
          </w:p>
        </w:tc>
      </w:tr>
      <w:tr w14:paraId="79C0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7A3FEDEF">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银行帐号:20000124093110300000018</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412C9981">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帐号：</w:t>
            </w:r>
          </w:p>
        </w:tc>
      </w:tr>
      <w:tr w14:paraId="0296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35C9D52E">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电话:0556-21</w:t>
            </w:r>
            <w:r>
              <w:rPr>
                <w:rFonts w:hint="eastAsia" w:ascii="宋体" w:hAnsi="宋体" w:eastAsia="宋体" w:cs="宋体"/>
                <w:kern w:val="2"/>
                <w:sz w:val="21"/>
                <w:szCs w:val="21"/>
                <w:lang w:val="en-US" w:eastAsia="zh-CN"/>
              </w:rPr>
              <w:t>75070</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19E73E91">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电话：</w:t>
            </w:r>
          </w:p>
        </w:tc>
      </w:tr>
      <w:tr w14:paraId="5CB2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3A41C62F">
            <w:pPr>
              <w:widowControl w:val="0"/>
              <w:adjustRightInd/>
              <w:snapToGrid/>
              <w:spacing w:after="100"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法人或委托人签字：</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AD95C3D">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法或委托人签字：</w:t>
            </w:r>
          </w:p>
        </w:tc>
      </w:tr>
      <w:tr w14:paraId="6B00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05" w:type="dxa"/>
            <w:tcBorders>
              <w:top w:val="single" w:color="auto" w:sz="4" w:space="0"/>
              <w:left w:val="single" w:color="auto" w:sz="4" w:space="0"/>
              <w:bottom w:val="single" w:color="auto" w:sz="4" w:space="0"/>
              <w:right w:val="single" w:color="auto" w:sz="4" w:space="0"/>
            </w:tcBorders>
            <w:noWrap w:val="0"/>
            <w:vAlign w:val="center"/>
          </w:tcPr>
          <w:p w14:paraId="46843A91">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日</w:t>
            </w:r>
          </w:p>
        </w:tc>
        <w:tc>
          <w:tcPr>
            <w:tcW w:w="4534" w:type="dxa"/>
            <w:tcBorders>
              <w:top w:val="single" w:color="auto" w:sz="4" w:space="0"/>
              <w:left w:val="single" w:color="auto" w:sz="4" w:space="0"/>
              <w:bottom w:val="single" w:color="auto" w:sz="4" w:space="0"/>
              <w:right w:val="single" w:color="auto" w:sz="4" w:space="0"/>
            </w:tcBorders>
            <w:noWrap w:val="0"/>
            <w:vAlign w:val="center"/>
          </w:tcPr>
          <w:p w14:paraId="660C713F">
            <w:pPr>
              <w:widowControl w:val="0"/>
              <w:adjustRightInd/>
              <w:snapToGrid/>
              <w:spacing w:after="100" w:line="24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bookmarkStart w:id="0" w:name="OLE_LINK1"/>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日</w:t>
            </w:r>
            <w:bookmarkEnd w:id="0"/>
          </w:p>
        </w:tc>
      </w:tr>
    </w:tbl>
    <w:p w14:paraId="4CECD059">
      <w:pPr>
        <w:keepNext w:val="0"/>
        <w:keepLines w:val="0"/>
        <w:widowControl/>
        <w:suppressLineNumbers w:val="0"/>
        <w:spacing w:after="0" w:line="360" w:lineRule="auto"/>
        <w:jc w:val="both"/>
        <w:textAlignment w:val="center"/>
        <w:rPr>
          <w:rFonts w:hint="default" w:ascii="宋体" w:hAnsi="宋体" w:cs="宋体"/>
          <w:color w:val="auto"/>
          <w:sz w:val="28"/>
          <w:szCs w:val="36"/>
          <w:u w:val="single"/>
          <w:lang w:val="en-US" w:eastAsia="zh-CN"/>
        </w:rPr>
      </w:pPr>
    </w:p>
    <w:sectPr>
      <w:footerReference r:id="rId5" w:type="default"/>
      <w:pgSz w:w="11906" w:h="16838"/>
      <w:pgMar w:top="1440" w:right="1406"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411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E8A6">
    <w:pPr>
      <w:pStyle w:val="7"/>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rPr>
      <w:t>SYJT202</w:t>
    </w:r>
    <w:r>
      <w:rPr>
        <w:rFonts w:hint="eastAsia" w:asciiTheme="minorEastAsia" w:hAnsiTheme="minorEastAsia" w:eastAsiaTheme="minorEastAsia" w:cstheme="minorEastAsia"/>
        <w:sz w:val="21"/>
        <w:szCs w:val="21"/>
        <w:u w:val="none"/>
        <w:lang w:val="en-US" w:eastAsia="zh-CN"/>
      </w:rPr>
      <w:t>5</w:t>
    </w:r>
    <w:r>
      <w:rPr>
        <w:rFonts w:hint="eastAsia" w:asciiTheme="minorEastAsia" w:hAnsiTheme="minorEastAsia" w:eastAsiaTheme="minorEastAsia" w:cstheme="minorEastAsia"/>
        <w:sz w:val="21"/>
        <w:szCs w:val="21"/>
        <w:u w:val="none"/>
      </w:rPr>
      <w:t>011</w:t>
    </w:r>
    <w:r>
      <w:rPr>
        <w:rFonts w:hint="eastAsia" w:asciiTheme="minorEastAsia" w:hAnsiTheme="minorEastAsia" w:eastAsiaTheme="minorEastAsia" w:cstheme="minorEastAsia"/>
        <w:sz w:val="21"/>
        <w:szCs w:val="21"/>
        <w:u w:val="none"/>
        <w:lang w:val="en-US" w:eastAsia="zh-CN"/>
      </w:rPr>
      <w:t>4</w:t>
    </w:r>
    <w:r>
      <w:rPr>
        <w:rFonts w:hint="eastAsia" w:asciiTheme="minorEastAsia" w:hAnsiTheme="minorEastAsia" w:eastAsiaTheme="minorEastAsia" w:cstheme="minorEastAsia"/>
        <w:sz w:val="21"/>
        <w:szCs w:val="21"/>
        <w:u w:val="none"/>
      </w:rPr>
      <w:t>0</w:t>
    </w:r>
    <w:r>
      <w:rPr>
        <w:rFonts w:hint="eastAsia" w:asciiTheme="minorEastAsia" w:hAnsiTheme="minorEastAsia" w:eastAsiaTheme="minorEastAsia" w:cstheme="minorEastAsia"/>
        <w:sz w:val="21"/>
        <w:szCs w:val="21"/>
        <w:u w:val="none"/>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DECEC"/>
    <w:multiLevelType w:val="singleLevel"/>
    <w:tmpl w:val="8F5DECEC"/>
    <w:lvl w:ilvl="0" w:tentative="0">
      <w:start w:val="2"/>
      <w:numFmt w:val="chineseCounting"/>
      <w:suff w:val="nothing"/>
      <w:lvlText w:val="%1、"/>
      <w:lvlJc w:val="left"/>
      <w:rPr>
        <w:rFonts w:hint="eastAsia"/>
      </w:rPr>
    </w:lvl>
  </w:abstractNum>
  <w:abstractNum w:abstractNumId="1">
    <w:nsid w:val="13EEC020"/>
    <w:multiLevelType w:val="singleLevel"/>
    <w:tmpl w:val="13EEC02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MjAzMzgxMDFhM2UwMzRlMDE4ZDgxZjg3YTdhMDkifQ=="/>
  </w:docVars>
  <w:rsids>
    <w:rsidRoot w:val="00172A27"/>
    <w:rsid w:val="00081369"/>
    <w:rsid w:val="0025048B"/>
    <w:rsid w:val="00756127"/>
    <w:rsid w:val="007A7CA4"/>
    <w:rsid w:val="008A49BB"/>
    <w:rsid w:val="00936290"/>
    <w:rsid w:val="00BF64DB"/>
    <w:rsid w:val="029C5F92"/>
    <w:rsid w:val="040C7417"/>
    <w:rsid w:val="073475A8"/>
    <w:rsid w:val="075A74AB"/>
    <w:rsid w:val="0B7218AA"/>
    <w:rsid w:val="16B17FC7"/>
    <w:rsid w:val="1B370BC4"/>
    <w:rsid w:val="1C547AB8"/>
    <w:rsid w:val="1F5701A3"/>
    <w:rsid w:val="244D35A9"/>
    <w:rsid w:val="24C654E4"/>
    <w:rsid w:val="262372AE"/>
    <w:rsid w:val="2A356281"/>
    <w:rsid w:val="2A623FDA"/>
    <w:rsid w:val="2CC47634"/>
    <w:rsid w:val="2EBB6206"/>
    <w:rsid w:val="2EDA65DD"/>
    <w:rsid w:val="2F591758"/>
    <w:rsid w:val="32FD657B"/>
    <w:rsid w:val="34917E04"/>
    <w:rsid w:val="397E5EAC"/>
    <w:rsid w:val="3DB50E26"/>
    <w:rsid w:val="40D25858"/>
    <w:rsid w:val="42203B9E"/>
    <w:rsid w:val="4D6702D1"/>
    <w:rsid w:val="4DD71467"/>
    <w:rsid w:val="531445C2"/>
    <w:rsid w:val="56006927"/>
    <w:rsid w:val="56376A81"/>
    <w:rsid w:val="5A1A1BDF"/>
    <w:rsid w:val="5AD439C9"/>
    <w:rsid w:val="60D10F99"/>
    <w:rsid w:val="65393B5D"/>
    <w:rsid w:val="68DB1C0B"/>
    <w:rsid w:val="6A8137CE"/>
    <w:rsid w:val="6B772712"/>
    <w:rsid w:val="6CBD23A2"/>
    <w:rsid w:val="6D4D22BE"/>
    <w:rsid w:val="70C0401F"/>
    <w:rsid w:val="74B67E49"/>
    <w:rsid w:val="76BA6F4E"/>
    <w:rsid w:val="798677EE"/>
    <w:rsid w:val="7D9D3C24"/>
    <w:rsid w:val="7F7A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3">
    <w:name w:val="Subtitle"/>
    <w:next w:val="1"/>
    <w:qFormat/>
    <w:uiPriority w:val="11"/>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4">
    <w:name w:val="index 4"/>
    <w:basedOn w:val="1"/>
    <w:next w:val="1"/>
    <w:qFormat/>
    <w:uiPriority w:val="0"/>
    <w:pPr>
      <w:ind w:left="600" w:leftChars="600"/>
    </w:pPr>
    <w:rPr>
      <w:rFonts w:ascii="Times New Roman" w:hAnsi="Times New Roman"/>
      <w:szCs w:val="24"/>
    </w:rPr>
  </w:style>
  <w:style w:type="paragraph" w:styleId="5">
    <w:name w:val="Plain Text"/>
    <w:basedOn w:val="1"/>
    <w:qFormat/>
    <w:uiPriority w:val="0"/>
    <w:rPr>
      <w:rFonts w:ascii="宋体" w:hAnsi="Courier New"/>
      <w:sz w:val="20"/>
      <w:szCs w:val="20"/>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Template>
  <Pages>6</Pages>
  <Words>3372</Words>
  <Characters>3513</Characters>
  <Lines>75</Lines>
  <Paragraphs>89</Paragraphs>
  <TotalTime>1</TotalTime>
  <ScaleCrop>false</ScaleCrop>
  <LinksUpToDate>false</LinksUpToDate>
  <CharactersWithSpaces>3809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2024-07-31T08:12:00Z</dcterms:created>
  <dc:creator>会微笑de猫</dc:creator>
  <cp:lastModifiedBy>储昭晖</cp:lastModifiedBy>
  <cp:lastPrinted>2024-06-10T06:53:00Z</cp:lastPrinted>
  <dcterms:modified xsi:type="dcterms:W3CDTF">2025-02-06T07:26:36Z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6183DCB2190E4678BC0DBE024A9F01D7_13</vt:lpwstr>
  </property>
  <property fmtid="{D5CDD505-2E9C-101B-9397-08002B2CF9AE}" pid="4" name="KSOTemplateDocerSaveRecord">
    <vt:lpwstr>eyJoZGlkIjoiMDMyMjAzMzgxMDFhM2UwMzRlMDE4ZDgxZjg3YTdhMDkiLCJ1c2VySWQiOiIyMzAxNjAxMDIifQ==</vt:lpwstr>
  </property>
</Properties>
</file>