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CAABBB">
      <w:pPr>
        <w:widowControl/>
        <w:spacing w:line="420" w:lineRule="exact"/>
        <w:jc w:val="left"/>
        <w:rPr>
          <w:rFonts w:hint="eastAsia" w:ascii="宋体" w:hAnsi="宋体" w:eastAsia="宋体" w:cs="宋体"/>
          <w:color w:val="auto"/>
          <w:sz w:val="24"/>
        </w:rPr>
      </w:pPr>
      <w:bookmarkStart w:id="7" w:name="_GoBack"/>
      <w:bookmarkEnd w:id="7"/>
      <w:r>
        <w:rPr>
          <w:rFonts w:hint="eastAsia" w:ascii="宋体" w:hAnsi="宋体" w:eastAsia="宋体" w:cs="宋体"/>
          <w:color w:val="auto"/>
          <w:sz w:val="24"/>
        </w:rPr>
        <w:t>附件：项目采购需求文件</w:t>
      </w:r>
    </w:p>
    <w:p w14:paraId="1CF3256A">
      <w:pPr>
        <w:widowControl/>
        <w:spacing w:line="500" w:lineRule="exact"/>
        <w:ind w:firstLine="4222" w:firstLineChars="1502"/>
        <w:jc w:val="left"/>
        <w:rPr>
          <w:rFonts w:hint="eastAsia" w:ascii="宋体" w:hAnsi="宋体" w:eastAsia="宋体" w:cs="宋体"/>
          <w:b/>
          <w:color w:val="auto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color w:val="auto"/>
          <w:kern w:val="0"/>
          <w:sz w:val="28"/>
          <w:szCs w:val="28"/>
          <w:lang w:val="en-US" w:eastAsia="zh-CN"/>
        </w:rPr>
        <w:t>采购需求</w:t>
      </w:r>
    </w:p>
    <w:p w14:paraId="75C52E19">
      <w:pPr>
        <w:widowControl/>
        <w:spacing w:line="500" w:lineRule="exact"/>
        <w:ind w:firstLine="430"/>
        <w:jc w:val="left"/>
        <w:rPr>
          <w:rFonts w:ascii="宋体" w:hAnsi="宋体"/>
          <w:b/>
          <w:bCs/>
          <w:color w:val="auto"/>
          <w:szCs w:val="21"/>
        </w:rPr>
      </w:pPr>
      <w:r>
        <w:rPr>
          <w:rFonts w:hint="eastAsia" w:ascii="宋体" w:hAnsi="宋体"/>
          <w:b/>
          <w:bCs/>
          <w:color w:val="auto"/>
          <w:szCs w:val="21"/>
        </w:rPr>
        <w:t>为鼓励不同品牌的充分竞争，如某设备的某技术参数或要求属于个别品牌专有，则该技术参数及要求不具有限制性，投标人可对该参数或要求进行适当调整，但这种调整整体上要优于或相当于招标文件的相关要求，并说明调整理由，且该调整须经评委会审核认可。</w:t>
      </w:r>
    </w:p>
    <w:p w14:paraId="1490826F">
      <w:pPr>
        <w:widowControl/>
        <w:spacing w:line="360" w:lineRule="auto"/>
        <w:ind w:firstLine="405"/>
        <w:jc w:val="left"/>
        <w:rPr>
          <w:rFonts w:ascii="宋体" w:hAnsi="宋体"/>
          <w:b/>
          <w:bCs/>
          <w:color w:val="auto"/>
          <w:szCs w:val="21"/>
        </w:rPr>
      </w:pPr>
      <w:r>
        <w:rPr>
          <w:rFonts w:hint="eastAsia" w:ascii="宋体" w:hAnsi="宋体"/>
          <w:b/>
          <w:bCs/>
          <w:color w:val="auto"/>
          <w:szCs w:val="21"/>
        </w:rPr>
        <w:t>单一产品采购时，提供相同品牌产品且通过资格审查、符合性审查的不同投标人参加同一合同项下投标的，按一家投标人计算，评审后得分最高的同品牌投标人获得中标人推荐资格；评审得分相同的，由采购人代表或采购人代表委托评标委员会采取随机抽取方式确定，其他投标无效。</w:t>
      </w:r>
    </w:p>
    <w:p w14:paraId="1FEA6318">
      <w:pPr>
        <w:widowControl/>
        <w:spacing w:line="500" w:lineRule="exact"/>
        <w:ind w:firstLine="211" w:firstLineChars="100"/>
        <w:jc w:val="left"/>
        <w:rPr>
          <w:rFonts w:hint="eastAsia" w:ascii="宋体" w:hAnsi="宋体" w:eastAsia="宋体" w:cs="宋体"/>
          <w:b/>
          <w:bCs/>
          <w:color w:val="auto"/>
          <w:szCs w:val="21"/>
        </w:rPr>
      </w:pPr>
      <w:r>
        <w:rPr>
          <w:rFonts w:hint="eastAsia" w:ascii="宋体" w:hAnsi="宋体"/>
          <w:b/>
          <w:bCs/>
          <w:color w:val="auto"/>
          <w:szCs w:val="21"/>
        </w:rPr>
        <w:t>非单一产品采购项目，提供的核心产品品牌相同的，按前款处理。核心产品由采购人根据采购项目技术构成、产品价格比重等合理确定，并载明在招标文件的货物需求及技术要求中，</w:t>
      </w:r>
      <w:r>
        <w:rPr>
          <w:rFonts w:ascii="宋体" w:hAnsi="宋体"/>
          <w:b/>
          <w:bCs/>
          <w:color w:val="auto"/>
          <w:szCs w:val="21"/>
        </w:rPr>
        <w:t>本次招标中所有产品品牌</w:t>
      </w:r>
      <w:r>
        <w:rPr>
          <w:rFonts w:hint="eastAsia" w:ascii="宋体" w:hAnsi="宋体"/>
          <w:b/>
          <w:bCs/>
          <w:color w:val="auto"/>
          <w:szCs w:val="21"/>
        </w:rPr>
        <w:t>均</w:t>
      </w:r>
      <w:r>
        <w:rPr>
          <w:rFonts w:ascii="宋体" w:hAnsi="宋体"/>
          <w:b/>
          <w:bCs/>
          <w:color w:val="auto"/>
          <w:szCs w:val="21"/>
        </w:rPr>
        <w:t>对应相同的就视为</w:t>
      </w:r>
      <w:r>
        <w:rPr>
          <w:rFonts w:hint="eastAsia" w:ascii="宋体" w:hAnsi="宋体"/>
          <w:b/>
          <w:bCs/>
          <w:color w:val="auto"/>
          <w:szCs w:val="21"/>
        </w:rPr>
        <w:t>核心产品品牌相同。</w:t>
      </w:r>
    </w:p>
    <w:p w14:paraId="67DD662B">
      <w:pPr>
        <w:ind w:firstLine="422" w:firstLineChars="200"/>
        <w:rPr>
          <w:rFonts w:hint="eastAsia" w:ascii="宋体" w:hAnsi="宋体" w:eastAsia="宋体" w:cs="宋体"/>
          <w:b/>
          <w:bCs/>
          <w:color w:val="auto"/>
          <w:szCs w:val="21"/>
        </w:rPr>
      </w:pPr>
    </w:p>
    <w:p w14:paraId="2D37B110">
      <w:pPr>
        <w:rPr>
          <w:rFonts w:hint="eastAsia" w:ascii="宋体" w:hAnsi="宋体" w:eastAsia="宋体" w:cs="宋体"/>
          <w:b/>
          <w:bCs/>
          <w:color w:val="auto"/>
          <w:sz w:val="24"/>
        </w:rPr>
      </w:pPr>
      <w:r>
        <w:rPr>
          <w:rFonts w:hint="eastAsia" w:ascii="宋体" w:hAnsi="宋体" w:eastAsia="宋体" w:cs="宋体"/>
          <w:b/>
          <w:bCs/>
          <w:color w:val="auto"/>
          <w:sz w:val="24"/>
        </w:rPr>
        <w:t>一、商务要求</w:t>
      </w:r>
    </w:p>
    <w:tbl>
      <w:tblPr>
        <w:tblStyle w:val="26"/>
        <w:tblW w:w="481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0"/>
        <w:gridCol w:w="2266"/>
        <w:gridCol w:w="5302"/>
      </w:tblGrid>
      <w:tr w14:paraId="347F05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9" w:hRule="atLeast"/>
          <w:jc w:val="center"/>
        </w:trPr>
        <w:tc>
          <w:tcPr>
            <w:tcW w:w="771" w:type="pct"/>
            <w:vAlign w:val="center"/>
          </w:tcPr>
          <w:p w14:paraId="59EA9D11">
            <w:pPr>
              <w:jc w:val="center"/>
              <w:rPr>
                <w:rFonts w:hint="eastAsia" w:ascii="宋体" w:hAnsi="宋体" w:eastAsia="宋体" w:cs="宋体"/>
                <w:b/>
                <w:color w:val="auto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kern w:val="0"/>
                <w:sz w:val="24"/>
              </w:rPr>
              <w:t>序号</w:t>
            </w:r>
          </w:p>
        </w:tc>
        <w:tc>
          <w:tcPr>
            <w:tcW w:w="1266" w:type="pct"/>
            <w:vAlign w:val="center"/>
          </w:tcPr>
          <w:p w14:paraId="4D3CC269">
            <w:pPr>
              <w:jc w:val="center"/>
              <w:rPr>
                <w:rFonts w:hint="eastAsia" w:ascii="宋体" w:hAnsi="宋体" w:eastAsia="宋体" w:cs="宋体"/>
                <w:b/>
                <w:color w:val="auto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4"/>
              </w:rPr>
              <w:t>商务条款名称</w:t>
            </w:r>
          </w:p>
        </w:tc>
        <w:tc>
          <w:tcPr>
            <w:tcW w:w="2962" w:type="pct"/>
            <w:vAlign w:val="center"/>
          </w:tcPr>
          <w:p w14:paraId="7944EE4B">
            <w:pPr>
              <w:jc w:val="center"/>
              <w:rPr>
                <w:rFonts w:hint="eastAsia" w:ascii="宋体" w:hAnsi="宋体" w:eastAsia="宋体" w:cs="宋体"/>
                <w:b/>
                <w:color w:val="auto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kern w:val="0"/>
                <w:sz w:val="24"/>
              </w:rPr>
              <w:t>具体要求内容</w:t>
            </w:r>
          </w:p>
        </w:tc>
      </w:tr>
      <w:tr w14:paraId="1D25AA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71" w:type="pct"/>
            <w:vAlign w:val="center"/>
          </w:tcPr>
          <w:p w14:paraId="0532CF6E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1</w:t>
            </w:r>
          </w:p>
        </w:tc>
        <w:tc>
          <w:tcPr>
            <w:tcW w:w="1266" w:type="pct"/>
            <w:vAlign w:val="center"/>
          </w:tcPr>
          <w:p w14:paraId="19B355FA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付款方式</w:t>
            </w:r>
          </w:p>
        </w:tc>
        <w:tc>
          <w:tcPr>
            <w:tcW w:w="2962" w:type="pct"/>
            <w:vAlign w:val="center"/>
          </w:tcPr>
          <w:p w14:paraId="6B95F510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供货安装完成并通过验收合格后无任何质量问题一次性付清。</w:t>
            </w:r>
          </w:p>
        </w:tc>
      </w:tr>
      <w:tr w14:paraId="3DDA68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71" w:type="pct"/>
            <w:vAlign w:val="center"/>
          </w:tcPr>
          <w:p w14:paraId="04214252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2</w:t>
            </w:r>
          </w:p>
        </w:tc>
        <w:tc>
          <w:tcPr>
            <w:tcW w:w="1266" w:type="pct"/>
            <w:vAlign w:val="center"/>
          </w:tcPr>
          <w:p w14:paraId="79127053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供货及安装地点</w:t>
            </w:r>
          </w:p>
        </w:tc>
        <w:tc>
          <w:tcPr>
            <w:tcW w:w="2962" w:type="pct"/>
            <w:vAlign w:val="center"/>
          </w:tcPr>
          <w:p w14:paraId="6B90F09E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岳西县</w:t>
            </w:r>
            <w:r>
              <w:rPr>
                <w:rFonts w:hint="eastAsia" w:ascii="宋体" w:hAnsi="宋体" w:eastAsia="宋体" w:cs="宋体"/>
                <w:color w:val="auto"/>
                <w:szCs w:val="21"/>
                <w:lang w:eastAsia="zh-CN"/>
              </w:rPr>
              <w:t>中</w:t>
            </w:r>
            <w:r>
              <w:rPr>
                <w:rFonts w:hint="eastAsia" w:ascii="宋体" w:hAnsi="宋体" w:eastAsia="宋体" w:cs="宋体"/>
                <w:color w:val="auto"/>
                <w:szCs w:val="21"/>
              </w:rPr>
              <w:t>医院（招标人指定地点）</w:t>
            </w:r>
          </w:p>
        </w:tc>
      </w:tr>
      <w:tr w14:paraId="1C28A0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71" w:type="pct"/>
            <w:vAlign w:val="center"/>
          </w:tcPr>
          <w:p w14:paraId="6BFDFE60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3</w:t>
            </w:r>
          </w:p>
        </w:tc>
        <w:tc>
          <w:tcPr>
            <w:tcW w:w="1266" w:type="pct"/>
            <w:vAlign w:val="center"/>
          </w:tcPr>
          <w:p w14:paraId="73A9CD91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供货及安装期限</w:t>
            </w:r>
          </w:p>
        </w:tc>
        <w:tc>
          <w:tcPr>
            <w:tcW w:w="2962" w:type="pct"/>
            <w:vAlign w:val="center"/>
          </w:tcPr>
          <w:p w14:paraId="52D1626E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合同签订后20日历天内交货并安装验收合格</w:t>
            </w:r>
          </w:p>
        </w:tc>
      </w:tr>
      <w:tr w14:paraId="43A456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771" w:type="pct"/>
            <w:vAlign w:val="center"/>
          </w:tcPr>
          <w:p w14:paraId="1D972100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4</w:t>
            </w:r>
          </w:p>
        </w:tc>
        <w:tc>
          <w:tcPr>
            <w:tcW w:w="1266" w:type="pct"/>
            <w:vAlign w:val="center"/>
          </w:tcPr>
          <w:p w14:paraId="28276FAA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</w:rPr>
              <w:t>商品包装要求</w:t>
            </w:r>
          </w:p>
        </w:tc>
        <w:tc>
          <w:tcPr>
            <w:tcW w:w="2962" w:type="pct"/>
            <w:vAlign w:val="center"/>
          </w:tcPr>
          <w:p w14:paraId="6BAD820A"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default" w:ascii="宋体" w:hAnsi="宋体" w:eastAsia="宋体" w:cs="宋体"/>
                <w:color w:val="auto"/>
                <w:szCs w:val="21"/>
              </w:rPr>
              <w:t>除另有约定外,供应商交付全部货物的包装要求严格按照国家强制标准执行。</w:t>
            </w:r>
          </w:p>
        </w:tc>
      </w:tr>
    </w:tbl>
    <w:p w14:paraId="0953E4D4">
      <w:pPr>
        <w:keepNext/>
        <w:keepLines/>
        <w:numPr>
          <w:ilvl w:val="0"/>
          <w:numId w:val="0"/>
        </w:numPr>
        <w:autoSpaceDE w:val="0"/>
        <w:autoSpaceDN w:val="0"/>
        <w:adjustRightInd w:val="0"/>
        <w:spacing w:line="400" w:lineRule="exact"/>
        <w:jc w:val="left"/>
        <w:outlineLvl w:val="2"/>
        <w:rPr>
          <w:rFonts w:hint="eastAsia" w:ascii="宋体" w:hAnsi="宋体" w:eastAsia="宋体" w:cs="宋体"/>
          <w:b/>
          <w:bCs/>
          <w:color w:val="auto"/>
          <w:kern w:val="0"/>
          <w:sz w:val="24"/>
        </w:rPr>
      </w:pPr>
      <w:bookmarkStart w:id="0" w:name="_Toc24745"/>
      <w:r>
        <w:rPr>
          <w:rFonts w:hint="eastAsia" w:ascii="宋体" w:hAnsi="宋体" w:eastAsia="宋体" w:cs="宋体"/>
          <w:b/>
          <w:bCs/>
          <w:color w:val="auto"/>
          <w:kern w:val="0"/>
          <w:sz w:val="24"/>
          <w:lang w:val="en-US" w:eastAsia="zh-CN"/>
        </w:rPr>
        <w:t>二、</w:t>
      </w:r>
      <w:r>
        <w:rPr>
          <w:rFonts w:hint="eastAsia" w:ascii="宋体" w:hAnsi="宋体" w:eastAsia="宋体" w:cs="宋体"/>
          <w:b/>
          <w:bCs/>
          <w:color w:val="auto"/>
          <w:kern w:val="0"/>
          <w:sz w:val="24"/>
        </w:rPr>
        <w:t>技术要求一览表</w:t>
      </w:r>
      <w:bookmarkEnd w:id="0"/>
    </w:p>
    <w:tbl>
      <w:tblPr>
        <w:tblStyle w:val="26"/>
        <w:tblW w:w="8885" w:type="dxa"/>
        <w:jc w:val="cente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67"/>
        <w:gridCol w:w="3184"/>
        <w:gridCol w:w="1854"/>
        <w:gridCol w:w="2180"/>
      </w:tblGrid>
      <w:tr w14:paraId="61FC9E2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4" w:hRule="atLeast"/>
          <w:jc w:val="center"/>
        </w:trPr>
        <w:tc>
          <w:tcPr>
            <w:tcW w:w="166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4909C437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  <w:t>序号</w:t>
            </w:r>
          </w:p>
        </w:tc>
        <w:tc>
          <w:tcPr>
            <w:tcW w:w="318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1BA8DF50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  <w:t>设备名称</w:t>
            </w:r>
          </w:p>
        </w:tc>
        <w:tc>
          <w:tcPr>
            <w:tcW w:w="185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0CE10338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  <w:t>单位</w:t>
            </w:r>
          </w:p>
        </w:tc>
        <w:tc>
          <w:tcPr>
            <w:tcW w:w="218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7832441A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  <w:t>数量</w:t>
            </w:r>
          </w:p>
        </w:tc>
      </w:tr>
      <w:tr w14:paraId="30A0DF5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5" w:hRule="atLeast"/>
          <w:jc w:val="center"/>
        </w:trPr>
        <w:tc>
          <w:tcPr>
            <w:tcW w:w="16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6F3714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3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DBF62A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  <w:t>牙科综合治疗椅</w:t>
            </w:r>
          </w:p>
        </w:tc>
        <w:tc>
          <w:tcPr>
            <w:tcW w:w="18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5DA64C"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lang w:val="en-US" w:eastAsia="zh-CN"/>
              </w:rPr>
              <w:t>台</w:t>
            </w:r>
          </w:p>
        </w:tc>
        <w:tc>
          <w:tcPr>
            <w:tcW w:w="2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2412EC"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lang w:val="en-US" w:eastAsia="zh-CN"/>
              </w:rPr>
              <w:t>2</w:t>
            </w:r>
          </w:p>
        </w:tc>
      </w:tr>
    </w:tbl>
    <w:p w14:paraId="5D6F117F">
      <w:pPr>
        <w:adjustRightInd w:val="0"/>
        <w:snapToGrid w:val="0"/>
        <w:spacing w:line="312" w:lineRule="auto"/>
        <w:rPr>
          <w:rFonts w:hint="eastAsia" w:ascii="宋体" w:hAnsi="宋体" w:eastAsia="宋体" w:cs="宋体"/>
          <w:sz w:val="21"/>
          <w:szCs w:val="21"/>
          <w:lang w:eastAsia="zh-CN"/>
        </w:rPr>
      </w:pPr>
      <w:bookmarkStart w:id="1" w:name="_Toc15427"/>
      <w:bookmarkStart w:id="2" w:name="_Toc4579"/>
      <w:r>
        <w:rPr>
          <w:rFonts w:hint="eastAsia" w:ascii="宋体" w:hAnsi="宋体" w:cs="宋体"/>
          <w:sz w:val="21"/>
          <w:szCs w:val="21"/>
        </w:rPr>
        <w:t>1、患者座椅</w:t>
      </w:r>
    </w:p>
    <w:p w14:paraId="0D2E75A4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 xml:space="preserve">1.1 </w:t>
      </w:r>
      <w:r>
        <w:rPr>
          <w:rFonts w:hint="eastAsia" w:ascii="宋体" w:hAnsi="宋体" w:cs="宋体"/>
          <w:sz w:val="21"/>
          <w:szCs w:val="21"/>
          <w:lang w:val="zh-CN"/>
        </w:rPr>
        <w:t>座垫面离地面高度：最低</w:t>
      </w:r>
      <w:r>
        <w:rPr>
          <w:rFonts w:hint="eastAsia" w:ascii="宋体" w:hAnsi="宋体" w:cs="宋体"/>
          <w:sz w:val="21"/>
          <w:szCs w:val="21"/>
        </w:rPr>
        <w:t>≤390mm，最高≥800mm</w:t>
      </w:r>
      <w:r>
        <w:rPr>
          <w:rFonts w:hint="eastAsia" w:ascii="宋体" w:hAnsi="宋体" w:cs="宋体"/>
          <w:sz w:val="21"/>
          <w:szCs w:val="21"/>
        </w:rPr>
        <w:tab/>
      </w:r>
    </w:p>
    <w:p w14:paraId="0D82964E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 xml:space="preserve">1.2 </w:t>
      </w:r>
      <w:r>
        <w:rPr>
          <w:rFonts w:hint="eastAsia" w:ascii="宋体" w:hAnsi="宋体" w:cs="宋体"/>
          <w:sz w:val="21"/>
          <w:szCs w:val="21"/>
          <w:lang w:val="zh-CN"/>
        </w:rPr>
        <w:t>椅位载重量：</w:t>
      </w:r>
      <w:r>
        <w:rPr>
          <w:rFonts w:hint="eastAsia" w:ascii="宋体" w:hAnsi="宋体" w:cs="宋体"/>
          <w:sz w:val="21"/>
          <w:szCs w:val="21"/>
        </w:rPr>
        <w:t>≥180KG</w:t>
      </w:r>
      <w:r>
        <w:rPr>
          <w:rFonts w:hint="eastAsia" w:ascii="宋体" w:hAnsi="宋体" w:cs="宋体"/>
          <w:sz w:val="21"/>
          <w:szCs w:val="21"/>
        </w:rPr>
        <w:tab/>
      </w:r>
      <w:r>
        <w:rPr>
          <w:rFonts w:hint="eastAsia" w:ascii="宋体" w:hAnsi="宋体" w:cs="宋体"/>
          <w:sz w:val="21"/>
          <w:szCs w:val="21"/>
        </w:rPr>
        <w:tab/>
      </w:r>
    </w:p>
    <w:p w14:paraId="412A5D5C">
      <w:pPr>
        <w:ind w:firstLine="210" w:firstLineChars="100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1.3 采用进口皮革（提供报关单为证明材料），可选择缝制裙边皮或无缝光面皮，提高患者就诊舒适度。</w:t>
      </w:r>
      <w:r>
        <w:rPr>
          <w:rFonts w:hint="eastAsia" w:ascii="宋体" w:hAnsi="宋体" w:cs="宋体"/>
          <w:sz w:val="21"/>
          <w:szCs w:val="21"/>
        </w:rPr>
        <w:tab/>
      </w:r>
    </w:p>
    <w:p w14:paraId="2DD6EE36">
      <w:pPr>
        <w:adjustRightInd w:val="0"/>
        <w:snapToGrid w:val="0"/>
        <w:spacing w:line="312" w:lineRule="auto"/>
        <w:ind w:firstLine="210" w:firstLineChars="100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1.4 一体式PU材质底座，PU包裹钢板一体合成，方便保养。（提供证明材料）</w:t>
      </w:r>
    </w:p>
    <w:p w14:paraId="0A02A9E1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1.5 升降</w:t>
      </w:r>
      <w:r>
        <w:rPr>
          <w:rFonts w:hint="eastAsia" w:ascii="宋体" w:hAnsi="宋体" w:cs="宋体"/>
          <w:sz w:val="21"/>
          <w:szCs w:val="21"/>
          <w:lang w:val="zh-CN"/>
        </w:rPr>
        <w:t>和靠背运动具有联动补偿功能，患者无搓背感，采用柔性电机，实现柔性启停功能。牙椅具有急救位功能，用于预防突发事件。</w:t>
      </w:r>
    </w:p>
    <w:p w14:paraId="721A0A34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  <w:lang w:val="zh-CN"/>
        </w:rPr>
      </w:pPr>
      <w:r>
        <w:rPr>
          <w:rFonts w:hint="eastAsia" w:ascii="宋体" w:hAnsi="宋体" w:cs="宋体"/>
          <w:b/>
          <w:bCs/>
          <w:sz w:val="21"/>
          <w:szCs w:val="21"/>
        </w:rPr>
        <w:t>★</w:t>
      </w:r>
      <w:r>
        <w:rPr>
          <w:rFonts w:hint="eastAsia" w:ascii="宋体" w:hAnsi="宋体" w:cs="宋体"/>
          <w:sz w:val="21"/>
          <w:szCs w:val="21"/>
        </w:rPr>
        <w:t xml:space="preserve">1.6 </w:t>
      </w:r>
      <w:r>
        <w:rPr>
          <w:rFonts w:hint="eastAsia" w:ascii="宋体" w:hAnsi="宋体" w:cs="宋体"/>
          <w:sz w:val="21"/>
          <w:szCs w:val="21"/>
          <w:lang w:val="zh-CN"/>
        </w:rPr>
        <w:t>椅位具有下降安全保护装置，下降时遇到阻碍物会停止下降，并回升。</w:t>
      </w:r>
    </w:p>
    <w:p w14:paraId="75830BD7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1.7 牙椅具有符合国标的紧急急停开关，避免诊疗过程中发生安全隐患，配有机椅互锁系统，手机工作状态下，椅位保持锁定。</w:t>
      </w:r>
      <w:r>
        <w:rPr>
          <w:rFonts w:hint="eastAsia" w:ascii="宋体" w:hAnsi="宋体" w:cs="宋体"/>
          <w:sz w:val="21"/>
          <w:szCs w:val="21"/>
        </w:rPr>
        <w:tab/>
      </w:r>
    </w:p>
    <w:p w14:paraId="179F470D">
      <w:pPr>
        <w:adjustRightInd w:val="0"/>
        <w:snapToGrid w:val="0"/>
        <w:spacing w:line="312" w:lineRule="auto"/>
        <w:ind w:firstLine="241"/>
        <w:rPr>
          <w:rFonts w:ascii="宋体" w:hAnsi="宋体" w:cs="宋体"/>
          <w:b/>
          <w:bCs/>
          <w:sz w:val="21"/>
          <w:szCs w:val="21"/>
        </w:rPr>
      </w:pPr>
      <w:r>
        <w:rPr>
          <w:rFonts w:hint="eastAsia" w:ascii="宋体" w:hAnsi="宋体" w:cs="宋体"/>
          <w:b/>
          <w:bCs/>
          <w:sz w:val="21"/>
          <w:szCs w:val="21"/>
        </w:rPr>
        <w:t>★</w:t>
      </w:r>
      <w:r>
        <w:rPr>
          <w:rFonts w:hint="eastAsia" w:ascii="宋体" w:hAnsi="宋体" w:cs="宋体"/>
          <w:sz w:val="21"/>
          <w:szCs w:val="21"/>
        </w:rPr>
        <w:t>1.8 牙椅底座上带脚控控制，有升降、仰卧功能，具有2个万能键，可通过设置，一键实现牙椅本身自带的任何功能。</w:t>
      </w:r>
    </w:p>
    <w:p w14:paraId="6825DDF4">
      <w:pPr>
        <w:adjustRightInd w:val="0"/>
        <w:snapToGrid w:val="0"/>
        <w:spacing w:line="312" w:lineRule="auto"/>
        <w:ind w:firstLine="210" w:firstLineChars="100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2、医师单元</w:t>
      </w:r>
      <w:r>
        <w:rPr>
          <w:rFonts w:hint="eastAsia" w:ascii="宋体" w:hAnsi="宋体" w:cs="宋体"/>
          <w:sz w:val="21"/>
          <w:szCs w:val="21"/>
        </w:rPr>
        <w:tab/>
      </w:r>
    </w:p>
    <w:p w14:paraId="5FED9737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2.1</w:t>
      </w:r>
      <w:r>
        <w:rPr>
          <w:rFonts w:hint="eastAsia" w:ascii="宋体" w:hAnsi="宋体" w:cs="宋体"/>
          <w:sz w:val="21"/>
          <w:szCs w:val="21"/>
          <w:lang w:val="zh-CN"/>
        </w:rPr>
        <w:t>下挂式手机操作系统</w:t>
      </w:r>
      <w:r>
        <w:rPr>
          <w:rFonts w:hint="eastAsia" w:ascii="宋体" w:hAnsi="宋体" w:cs="宋体"/>
          <w:sz w:val="21"/>
          <w:szCs w:val="21"/>
        </w:rPr>
        <w:t>,</w:t>
      </w:r>
      <w:r>
        <w:rPr>
          <w:rFonts w:hint="eastAsia" w:ascii="宋体" w:hAnsi="宋体" w:cs="宋体"/>
          <w:sz w:val="21"/>
          <w:szCs w:val="21"/>
          <w:lang w:val="zh-CN"/>
        </w:rPr>
        <w:t>手机挂架可内外旋转</w:t>
      </w:r>
      <w:r>
        <w:rPr>
          <w:rFonts w:hint="eastAsia" w:ascii="宋体" w:hAnsi="宋体" w:cs="宋体"/>
          <w:sz w:val="21"/>
          <w:szCs w:val="21"/>
        </w:rPr>
        <w:t>90</w:t>
      </w:r>
      <w:r>
        <w:rPr>
          <w:rFonts w:hint="eastAsia" w:ascii="宋体" w:hAnsi="宋体" w:cs="宋体"/>
          <w:sz w:val="21"/>
          <w:szCs w:val="21"/>
          <w:lang w:val="it-IT"/>
        </w:rPr>
        <w:t>°</w:t>
      </w:r>
      <w:r>
        <w:rPr>
          <w:rFonts w:hint="eastAsia" w:ascii="宋体" w:hAnsi="宋体" w:cs="宋体"/>
          <w:sz w:val="21"/>
          <w:szCs w:val="21"/>
          <w:lang w:val="zh-CN"/>
        </w:rPr>
        <w:t>，收纳在器械盘下面，避免手术结束后刮伤医患人员；挂架可上下</w:t>
      </w:r>
      <w:r>
        <w:rPr>
          <w:rFonts w:hint="eastAsia" w:ascii="宋体" w:hAnsi="宋体" w:cs="宋体"/>
          <w:sz w:val="21"/>
          <w:szCs w:val="21"/>
        </w:rPr>
        <w:t>45</w:t>
      </w:r>
      <w:r>
        <w:rPr>
          <w:rFonts w:hint="eastAsia" w:ascii="宋体" w:hAnsi="宋体" w:cs="宋体"/>
          <w:sz w:val="21"/>
          <w:szCs w:val="21"/>
          <w:lang w:val="it-IT"/>
        </w:rPr>
        <w:t>°</w:t>
      </w:r>
      <w:r>
        <w:rPr>
          <w:rFonts w:hint="eastAsia" w:ascii="宋体" w:hAnsi="宋体" w:cs="宋体"/>
          <w:sz w:val="21"/>
          <w:szCs w:val="21"/>
          <w:lang w:val="zh-CN"/>
        </w:rPr>
        <w:t>旋转，采用大挂架，方便医生实现盲插操作。</w:t>
      </w:r>
      <w:r>
        <w:rPr>
          <w:rFonts w:hint="eastAsia" w:ascii="宋体" w:hAnsi="宋体" w:cs="宋体"/>
          <w:sz w:val="21"/>
          <w:szCs w:val="21"/>
        </w:rPr>
        <w:t>（提供证明材料）</w:t>
      </w:r>
      <w:r>
        <w:rPr>
          <w:rFonts w:hint="eastAsia" w:ascii="宋体" w:hAnsi="宋体" w:cs="宋体"/>
          <w:sz w:val="21"/>
          <w:szCs w:val="21"/>
        </w:rPr>
        <w:tab/>
      </w:r>
    </w:p>
    <w:p w14:paraId="0283D4B3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2.2活动磁吸式器械盘无需工具可取下清洗消毒。</w:t>
      </w:r>
    </w:p>
    <w:p w14:paraId="01802846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 xml:space="preserve">2.3 </w:t>
      </w:r>
      <w:r>
        <w:rPr>
          <w:rFonts w:hint="eastAsia" w:ascii="宋体" w:hAnsi="宋体" w:cs="宋体"/>
          <w:sz w:val="21"/>
          <w:szCs w:val="21"/>
          <w:lang w:val="zh-CN"/>
        </w:rPr>
        <w:t>主控面板可设置</w:t>
      </w:r>
      <w:r>
        <w:rPr>
          <w:rFonts w:hint="eastAsia" w:ascii="宋体" w:hAnsi="宋体" w:cs="宋体"/>
          <w:sz w:val="21"/>
          <w:szCs w:val="21"/>
        </w:rPr>
        <w:t>5</w:t>
      </w:r>
      <w:r>
        <w:rPr>
          <w:rFonts w:hint="eastAsia" w:ascii="宋体" w:hAnsi="宋体" w:cs="宋体"/>
          <w:sz w:val="21"/>
          <w:szCs w:val="21"/>
          <w:lang w:val="zh-CN"/>
        </w:rPr>
        <w:t>个记忆椅位，冲痰，漱口，加热等按键。</w:t>
      </w:r>
      <w:r>
        <w:rPr>
          <w:rFonts w:hint="eastAsia" w:ascii="宋体" w:hAnsi="宋体" w:cs="宋体"/>
          <w:sz w:val="21"/>
          <w:szCs w:val="21"/>
        </w:rPr>
        <w:t>主控、副控均具有记忆椅位功能，具有万能R键功能，可代替其他所有功能键。</w:t>
      </w:r>
    </w:p>
    <w:p w14:paraId="2D916F12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  <w:lang w:val="zh-CN"/>
        </w:rPr>
      </w:pPr>
      <w:r>
        <w:rPr>
          <w:rFonts w:hint="eastAsia" w:ascii="宋体" w:hAnsi="宋体" w:cs="宋体"/>
          <w:sz w:val="21"/>
          <w:szCs w:val="21"/>
        </w:rPr>
        <w:t>2.4</w:t>
      </w:r>
      <w:r>
        <w:rPr>
          <w:rFonts w:hint="eastAsia" w:ascii="宋体" w:hAnsi="宋体" w:cs="宋体"/>
          <w:sz w:val="21"/>
          <w:szCs w:val="21"/>
          <w:lang w:val="zh-CN"/>
        </w:rPr>
        <w:t>牙椅标配一键管路反冲洗消毒功能，同时对手机管路，洁牙机管路，主控和副控三用枪以及簌口水进行消毒，无需通过脚踏控制。</w:t>
      </w:r>
    </w:p>
    <w:p w14:paraId="78D6CE79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2.5 器械盘左右两侧把手下方均带有双气刹功能。</w:t>
      </w:r>
    </w:p>
    <w:p w14:paraId="5EDA8E90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 xml:space="preserve">2.6 </w:t>
      </w:r>
      <w:r>
        <w:rPr>
          <w:rFonts w:hint="eastAsia" w:ascii="宋体" w:hAnsi="宋体" w:cs="宋体"/>
          <w:sz w:val="21"/>
          <w:szCs w:val="21"/>
          <w:lang w:val="zh-CN"/>
        </w:rPr>
        <w:t>配置要求：</w:t>
      </w:r>
      <w:r>
        <w:rPr>
          <w:rFonts w:hint="eastAsia" w:ascii="宋体" w:hAnsi="宋体" w:cs="宋体"/>
          <w:sz w:val="21"/>
          <w:szCs w:val="21"/>
        </w:rPr>
        <w:t>每套牙椅配备</w:t>
      </w:r>
      <w:r>
        <w:rPr>
          <w:rFonts w:hint="eastAsia" w:ascii="宋体" w:hAnsi="宋体" w:cs="宋体"/>
          <w:sz w:val="21"/>
          <w:szCs w:val="21"/>
          <w:lang w:val="zh-CN"/>
        </w:rPr>
        <w:t>2把进口高速手机，1把进口低速手机（含直、弯机），</w:t>
      </w:r>
      <w:r>
        <w:rPr>
          <w:rFonts w:hint="eastAsia" w:ascii="宋体" w:hAnsi="宋体" w:cs="宋体"/>
          <w:sz w:val="21"/>
          <w:szCs w:val="21"/>
        </w:rPr>
        <w:t>1台</w:t>
      </w:r>
      <w:r>
        <w:rPr>
          <w:rFonts w:hint="eastAsia" w:ascii="宋体" w:hAnsi="宋体" w:cs="宋体"/>
          <w:sz w:val="21"/>
          <w:szCs w:val="21"/>
          <w:lang w:val="zh-CN"/>
        </w:rPr>
        <w:t>内置洁牙机</w:t>
      </w:r>
      <w:r>
        <w:rPr>
          <w:rFonts w:hint="eastAsia" w:ascii="宋体" w:hAnsi="宋体" w:cs="宋体"/>
          <w:sz w:val="21"/>
          <w:szCs w:val="21"/>
        </w:rPr>
        <w:t>,1台光固化灯。</w:t>
      </w:r>
    </w:p>
    <w:p w14:paraId="0D265435">
      <w:pPr>
        <w:adjustRightInd w:val="0"/>
        <w:snapToGrid w:val="0"/>
        <w:spacing w:line="312" w:lineRule="auto"/>
        <w:ind w:firstLine="210" w:firstLineChars="100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3、助手单元</w:t>
      </w:r>
      <w:r>
        <w:rPr>
          <w:rFonts w:hint="eastAsia" w:ascii="宋体" w:hAnsi="宋体" w:cs="宋体"/>
          <w:sz w:val="21"/>
          <w:szCs w:val="21"/>
        </w:rPr>
        <w:tab/>
      </w:r>
    </w:p>
    <w:p w14:paraId="51AE4AF1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 xml:space="preserve">3.1 </w:t>
      </w:r>
      <w:r>
        <w:rPr>
          <w:rFonts w:hint="eastAsia" w:ascii="宋体" w:hAnsi="宋体" w:cs="宋体"/>
          <w:sz w:val="21"/>
          <w:szCs w:val="21"/>
          <w:lang w:val="zh-CN"/>
        </w:rPr>
        <w:t>副控具有5位挂架装置。</w:t>
      </w:r>
    </w:p>
    <w:p w14:paraId="7313045C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3.2 副控面板上具</w:t>
      </w:r>
      <w:r>
        <w:rPr>
          <w:rFonts w:hint="eastAsia" w:ascii="宋体" w:hAnsi="宋体" w:cs="宋体"/>
          <w:sz w:val="21"/>
          <w:szCs w:val="21"/>
          <w:lang w:val="zh-CN"/>
        </w:rPr>
        <w:t>有</w:t>
      </w:r>
      <w:r>
        <w:rPr>
          <w:rFonts w:hint="eastAsia" w:ascii="宋体" w:hAnsi="宋体" w:cs="宋体"/>
          <w:sz w:val="21"/>
          <w:szCs w:val="21"/>
        </w:rPr>
        <w:t>SET功能设置</w:t>
      </w:r>
      <w:r>
        <w:rPr>
          <w:rFonts w:hint="eastAsia" w:ascii="宋体" w:hAnsi="宋体" w:cs="宋体"/>
          <w:sz w:val="21"/>
          <w:szCs w:val="21"/>
          <w:lang w:val="zh-CN"/>
        </w:rPr>
        <w:t>键、漱口位键，有升降、仰卧、加热、复位键等功能。</w:t>
      </w:r>
    </w:p>
    <w:p w14:paraId="2AA9D01E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  <w:lang w:val="zh-CN"/>
        </w:rPr>
      </w:pPr>
      <w:r>
        <w:rPr>
          <w:rFonts w:hint="eastAsia" w:ascii="宋体" w:hAnsi="宋体" w:cs="宋体"/>
          <w:sz w:val="21"/>
          <w:szCs w:val="21"/>
        </w:rPr>
        <w:t xml:space="preserve">3.3 </w:t>
      </w:r>
      <w:r>
        <w:rPr>
          <w:rFonts w:hint="eastAsia" w:ascii="宋体" w:hAnsi="宋体" w:cs="宋体"/>
          <w:sz w:val="21"/>
          <w:szCs w:val="21"/>
          <w:lang w:val="zh-CN"/>
        </w:rPr>
        <w:t>副控</w:t>
      </w:r>
      <w:r>
        <w:rPr>
          <w:rFonts w:hint="eastAsia" w:ascii="宋体" w:hAnsi="宋体" w:cs="宋体"/>
          <w:sz w:val="21"/>
          <w:szCs w:val="21"/>
        </w:rPr>
        <w:t>配有可插拔式</w:t>
      </w:r>
      <w:r>
        <w:rPr>
          <w:rFonts w:hint="eastAsia" w:ascii="宋体" w:hAnsi="宋体" w:cs="宋体"/>
          <w:sz w:val="21"/>
          <w:szCs w:val="21"/>
          <w:lang w:val="zh-CN"/>
        </w:rPr>
        <w:t>强弱</w:t>
      </w:r>
      <w:r>
        <w:rPr>
          <w:rFonts w:hint="eastAsia" w:ascii="宋体" w:hAnsi="宋体" w:cs="宋体"/>
          <w:sz w:val="21"/>
          <w:szCs w:val="21"/>
        </w:rPr>
        <w:t>吸管</w:t>
      </w:r>
      <w:r>
        <w:rPr>
          <w:rFonts w:hint="eastAsia" w:ascii="宋体" w:hAnsi="宋体" w:cs="宋体"/>
          <w:sz w:val="21"/>
          <w:szCs w:val="21"/>
          <w:lang w:val="zh-CN"/>
        </w:rPr>
        <w:t>，配有易于拆卸清洗的过滤系统，具有延时功能，吸唾手柄挂回后</w:t>
      </w:r>
      <w:r>
        <w:rPr>
          <w:rFonts w:hint="eastAsia" w:ascii="宋体" w:hAnsi="宋体" w:cs="宋体"/>
          <w:sz w:val="21"/>
          <w:szCs w:val="21"/>
        </w:rPr>
        <w:t>至少</w:t>
      </w:r>
      <w:r>
        <w:rPr>
          <w:rFonts w:hint="eastAsia" w:ascii="宋体" w:hAnsi="宋体" w:cs="宋体"/>
          <w:sz w:val="21"/>
          <w:szCs w:val="21"/>
          <w:lang w:val="zh-CN"/>
        </w:rPr>
        <w:t>再工作</w:t>
      </w:r>
      <w:r>
        <w:rPr>
          <w:rFonts w:hint="eastAsia" w:ascii="宋体" w:hAnsi="宋体" w:cs="宋体"/>
          <w:sz w:val="21"/>
          <w:szCs w:val="21"/>
        </w:rPr>
        <w:t>5</w:t>
      </w:r>
      <w:r>
        <w:rPr>
          <w:rFonts w:hint="eastAsia" w:ascii="宋体" w:hAnsi="宋体" w:cs="宋体"/>
          <w:sz w:val="21"/>
          <w:szCs w:val="21"/>
          <w:lang w:val="zh-CN"/>
        </w:rPr>
        <w:t>秒，保证强弱吸管道内无污物，防止有异味。</w:t>
      </w:r>
    </w:p>
    <w:p w14:paraId="4E6A6367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  <w:lang w:val="zh-CN"/>
        </w:rPr>
      </w:pPr>
      <w:r>
        <w:rPr>
          <w:rFonts w:hint="eastAsia" w:ascii="宋体" w:hAnsi="宋体" w:cs="宋体"/>
          <w:sz w:val="21"/>
          <w:szCs w:val="21"/>
        </w:rPr>
        <w:t xml:space="preserve">3.4 </w:t>
      </w:r>
      <w:r>
        <w:rPr>
          <w:rFonts w:hint="eastAsia" w:ascii="宋体" w:hAnsi="宋体" w:cs="宋体"/>
          <w:sz w:val="21"/>
          <w:szCs w:val="21"/>
          <w:lang w:val="zh-CN"/>
        </w:rPr>
        <w:t>治疗机侧箱水气系统与电路系统钢板双侧分离，更安全。</w:t>
      </w:r>
    </w:p>
    <w:p w14:paraId="1CA484EA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 xml:space="preserve">3.5 </w:t>
      </w:r>
      <w:r>
        <w:rPr>
          <w:rFonts w:hint="eastAsia" w:ascii="宋体" w:hAnsi="宋体" w:cs="宋体"/>
          <w:sz w:val="21"/>
          <w:szCs w:val="21"/>
          <w:lang w:val="zh-CN"/>
        </w:rPr>
        <w:t>侧箱可以</w:t>
      </w:r>
      <w:r>
        <w:rPr>
          <w:rFonts w:hint="eastAsia" w:ascii="宋体" w:hAnsi="宋体" w:cs="宋体"/>
          <w:sz w:val="21"/>
          <w:szCs w:val="21"/>
        </w:rPr>
        <w:t>90</w:t>
      </w:r>
      <w:r>
        <w:rPr>
          <w:rFonts w:hint="eastAsia" w:ascii="宋体" w:hAnsi="宋体" w:cs="宋体"/>
          <w:sz w:val="21"/>
          <w:szCs w:val="21"/>
          <w:lang w:val="it-IT"/>
        </w:rPr>
        <w:t>°</w:t>
      </w:r>
      <w:r>
        <w:rPr>
          <w:rFonts w:hint="eastAsia" w:ascii="宋体" w:hAnsi="宋体" w:cs="宋体"/>
          <w:sz w:val="21"/>
          <w:szCs w:val="21"/>
          <w:lang w:val="zh-CN"/>
        </w:rPr>
        <w:t>旋转，方便四手</w:t>
      </w:r>
      <w:r>
        <w:rPr>
          <w:rFonts w:hint="eastAsia" w:ascii="宋体" w:hAnsi="宋体" w:cs="宋体"/>
          <w:sz w:val="21"/>
          <w:szCs w:val="21"/>
        </w:rPr>
        <w:t>操作</w:t>
      </w:r>
      <w:r>
        <w:rPr>
          <w:rFonts w:hint="eastAsia" w:ascii="宋体" w:hAnsi="宋体" w:cs="宋体"/>
          <w:sz w:val="21"/>
          <w:szCs w:val="21"/>
          <w:lang w:val="zh-CN"/>
        </w:rPr>
        <w:t>。</w:t>
      </w:r>
    </w:p>
    <w:p w14:paraId="69622932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3.6 侧箱具备漱口水温度显示及调节功能，调节范围为35℃-45℃之间。</w:t>
      </w:r>
    </w:p>
    <w:p w14:paraId="75EA2D51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 xml:space="preserve">3.7 </w:t>
      </w:r>
      <w:r>
        <w:rPr>
          <w:rFonts w:hint="eastAsia" w:ascii="宋体" w:hAnsi="宋体" w:cs="宋体"/>
          <w:sz w:val="21"/>
          <w:szCs w:val="21"/>
          <w:lang w:val="zh-CN"/>
        </w:rPr>
        <w:t>一体成型</w:t>
      </w:r>
      <w:r>
        <w:rPr>
          <w:rFonts w:hint="eastAsia" w:ascii="宋体" w:hAnsi="宋体" w:cs="宋体"/>
          <w:sz w:val="21"/>
          <w:szCs w:val="21"/>
        </w:rPr>
        <w:t>陶瓷</w:t>
      </w:r>
      <w:r>
        <w:rPr>
          <w:rFonts w:hint="eastAsia" w:ascii="宋体" w:hAnsi="宋体" w:cs="宋体"/>
          <w:sz w:val="21"/>
          <w:szCs w:val="21"/>
          <w:lang w:val="zh-CN"/>
        </w:rPr>
        <w:t>痰盂，可向内旋转</w:t>
      </w:r>
      <w:r>
        <w:rPr>
          <w:rFonts w:hint="eastAsia" w:ascii="宋体" w:hAnsi="宋体" w:cs="宋体"/>
          <w:sz w:val="21"/>
          <w:szCs w:val="21"/>
        </w:rPr>
        <w:t>90</w:t>
      </w:r>
      <w:r>
        <w:rPr>
          <w:rFonts w:hint="eastAsia" w:ascii="宋体" w:hAnsi="宋体" w:cs="宋体"/>
          <w:sz w:val="21"/>
          <w:szCs w:val="21"/>
          <w:lang w:val="it-IT"/>
        </w:rPr>
        <w:t>°</w:t>
      </w:r>
      <w:r>
        <w:rPr>
          <w:rFonts w:hint="eastAsia" w:ascii="宋体" w:hAnsi="宋体" w:cs="宋体"/>
          <w:sz w:val="21"/>
          <w:szCs w:val="21"/>
          <w:lang w:val="zh-CN"/>
        </w:rPr>
        <w:t>。</w:t>
      </w:r>
    </w:p>
    <w:p w14:paraId="4AE83FE8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★3.8 侧箱隐藏式储水瓶无需取下加水，并具有缺水提示功能。</w:t>
      </w:r>
    </w:p>
    <w:p w14:paraId="66593635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  <w:lang w:val="zh-CN"/>
        </w:rPr>
      </w:pPr>
      <w:r>
        <w:rPr>
          <w:rFonts w:hint="eastAsia" w:ascii="宋体" w:hAnsi="宋体" w:cs="宋体"/>
          <w:sz w:val="21"/>
          <w:szCs w:val="21"/>
        </w:rPr>
        <w:t>3.9</w:t>
      </w:r>
      <w:r>
        <w:rPr>
          <w:rFonts w:hint="eastAsia" w:ascii="宋体" w:hAnsi="宋体" w:cs="宋体"/>
          <w:sz w:val="21"/>
          <w:szCs w:val="21"/>
          <w:lang w:val="zh-CN"/>
        </w:rPr>
        <w:t>副控标配三用枪，并且三用枪可以实现恒温供水。</w:t>
      </w:r>
    </w:p>
    <w:p w14:paraId="6421073A">
      <w:pPr>
        <w:adjustRightInd w:val="0"/>
        <w:snapToGrid w:val="0"/>
        <w:spacing w:line="312" w:lineRule="auto"/>
        <w:ind w:firstLine="210" w:firstLineChars="100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4、口腔灯</w:t>
      </w:r>
      <w:r>
        <w:rPr>
          <w:rFonts w:hint="eastAsia" w:ascii="宋体" w:hAnsi="宋体" w:cs="宋体"/>
          <w:sz w:val="21"/>
          <w:szCs w:val="21"/>
        </w:rPr>
        <w:tab/>
      </w:r>
    </w:p>
    <w:p w14:paraId="0B863AB7">
      <w:pPr>
        <w:ind w:firstLine="210" w:firstLineChars="100"/>
        <w:rPr>
          <w:rFonts w:hint="eastAsia"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★4.1和连体式牙科治疗设备同品牌的LED口腔灯，并具有一类备案。</w:t>
      </w:r>
      <w:r>
        <w:rPr>
          <w:rFonts w:hint="eastAsia" w:ascii="宋体" w:hAnsi="宋体" w:cs="宋体"/>
          <w:sz w:val="21"/>
          <w:szCs w:val="21"/>
        </w:rPr>
        <w:tab/>
      </w:r>
      <w:r>
        <w:rPr>
          <w:rFonts w:hint="eastAsia" w:ascii="宋体" w:hAnsi="宋体" w:cs="宋体"/>
          <w:sz w:val="21"/>
          <w:szCs w:val="21"/>
        </w:rPr>
        <w:t xml:space="preserve"> </w:t>
      </w:r>
      <w:r>
        <w:rPr>
          <w:rFonts w:hint="eastAsia" w:ascii="宋体" w:hAnsi="宋体" w:cs="宋体"/>
          <w:sz w:val="21"/>
          <w:szCs w:val="21"/>
        </w:rPr>
        <w:tab/>
      </w:r>
    </w:p>
    <w:p w14:paraId="35A8A9C6">
      <w:pPr>
        <w:ind w:firstLine="210" w:firstLineChars="100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4.2口腔灯采用LED光源，通过机械结构调整滤光片，实现蓝光截止功能，完成白色和黄色两种光源切换，可防止光固化树脂提前固化。</w:t>
      </w:r>
    </w:p>
    <w:p w14:paraId="289C041F">
      <w:pPr>
        <w:ind w:firstLine="210" w:firstLineChars="100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4.3 采用反射光设计，口腔灯左右两侧具有物理按键进行各功能调节控制，也可感应式控制，防止交叉感染，防止眼睛疲劳。（提供证明材料）</w:t>
      </w:r>
    </w:p>
    <w:p w14:paraId="085A68DC">
      <w:pPr>
        <w:adjustRightInd w:val="0"/>
        <w:snapToGrid w:val="0"/>
        <w:spacing w:line="312" w:lineRule="auto"/>
        <w:ind w:firstLine="210" w:firstLineChars="100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5、脚踏</w:t>
      </w:r>
      <w:r>
        <w:rPr>
          <w:rFonts w:hint="eastAsia" w:ascii="宋体" w:hAnsi="宋体" w:cs="宋体"/>
          <w:sz w:val="21"/>
          <w:szCs w:val="21"/>
        </w:rPr>
        <w:tab/>
      </w:r>
    </w:p>
    <w:p w14:paraId="07188A4A">
      <w:pPr>
        <w:adjustRightInd w:val="0"/>
        <w:snapToGrid w:val="0"/>
        <w:spacing w:line="312" w:lineRule="auto"/>
        <w:ind w:firstLine="241"/>
        <w:rPr>
          <w:rFonts w:ascii="宋体" w:hAnsi="宋体" w:cs="宋体"/>
          <w:sz w:val="21"/>
          <w:szCs w:val="21"/>
        </w:rPr>
      </w:pPr>
      <w:r>
        <w:rPr>
          <w:rFonts w:hint="eastAsia" w:ascii="宋体" w:hAnsi="宋体" w:cs="宋体"/>
          <w:sz w:val="21"/>
          <w:szCs w:val="21"/>
        </w:rPr>
        <w:t>5.1</w:t>
      </w:r>
      <w:r>
        <w:rPr>
          <w:rFonts w:hint="eastAsia" w:ascii="宋体" w:hAnsi="宋体" w:cs="宋体"/>
          <w:sz w:val="21"/>
          <w:szCs w:val="21"/>
          <w:lang w:val="zh-CN"/>
        </w:rPr>
        <w:t>脚开关带手机冷却吹屑功能，手机在操作过程中无需换三用枪，具有吹气功能。</w:t>
      </w:r>
      <w:r>
        <w:rPr>
          <w:rFonts w:hint="eastAsia" w:ascii="宋体" w:hAnsi="宋体" w:cs="宋体"/>
          <w:sz w:val="21"/>
          <w:szCs w:val="21"/>
        </w:rPr>
        <w:tab/>
      </w:r>
    </w:p>
    <w:p w14:paraId="0591D0AD">
      <w:pPr>
        <w:adjustRightInd w:val="0"/>
        <w:snapToGrid w:val="0"/>
        <w:spacing w:line="312" w:lineRule="auto"/>
        <w:ind w:firstLine="210" w:firstLineChars="100"/>
        <w:rPr>
          <w:rFonts w:hint="eastAsia"/>
          <w:sz w:val="24"/>
          <w:szCs w:val="24"/>
        </w:rPr>
      </w:pPr>
      <w:r>
        <w:rPr>
          <w:rFonts w:hint="eastAsia" w:ascii="宋体" w:hAnsi="宋体" w:cs="宋体"/>
          <w:sz w:val="21"/>
          <w:szCs w:val="21"/>
        </w:rPr>
        <w:t>★6、 设备使用年限：≥15年</w:t>
      </w:r>
    </w:p>
    <w:p w14:paraId="70B8FB9B">
      <w:pPr>
        <w:keepNext/>
        <w:keepLines/>
        <w:pageBreakBefore w:val="0"/>
        <w:numPr>
          <w:ilvl w:val="0"/>
          <w:numId w:val="1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00" w:lineRule="exact"/>
        <w:ind w:left="-472" w:firstLine="472"/>
        <w:jc w:val="left"/>
        <w:textAlignment w:val="auto"/>
        <w:outlineLvl w:val="2"/>
        <w:rPr>
          <w:rFonts w:hint="eastAsia" w:ascii="宋体" w:hAnsi="宋体" w:eastAsia="宋体" w:cs="宋体"/>
          <w:b/>
          <w:color w:val="auto"/>
          <w:kern w:val="0"/>
          <w:sz w:val="24"/>
        </w:rPr>
      </w:pPr>
      <w:r>
        <w:rPr>
          <w:rFonts w:hint="eastAsia" w:ascii="宋体" w:hAnsi="宋体" w:eastAsia="宋体" w:cs="宋体"/>
          <w:b/>
          <w:color w:val="auto"/>
          <w:kern w:val="0"/>
          <w:sz w:val="24"/>
        </w:rPr>
        <w:t>人员培训要求</w:t>
      </w:r>
      <w:bookmarkEnd w:id="1"/>
      <w:bookmarkEnd w:id="2"/>
    </w:p>
    <w:p w14:paraId="128022F3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货物安装、调试、验收合格后，中标人应对采购人的相关人员进行免费现场培训。培训内容包括基本操作、保养维修、常见故障及解决办法等。</w:t>
      </w:r>
    </w:p>
    <w:p w14:paraId="6C61B62A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388E9EE0">
      <w:pPr>
        <w:pStyle w:val="2"/>
        <w:rPr>
          <w:rFonts w:hint="eastAsia"/>
        </w:rPr>
      </w:pPr>
    </w:p>
    <w:p w14:paraId="170F172A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textAlignment w:val="auto"/>
        <w:outlineLvl w:val="1"/>
        <w:rPr>
          <w:rFonts w:hint="eastAsia" w:ascii="宋体" w:hAnsi="宋体" w:eastAsia="宋体" w:cs="宋体"/>
          <w:b/>
          <w:bCs/>
          <w:color w:val="auto"/>
          <w:sz w:val="24"/>
        </w:rPr>
      </w:pPr>
      <w:r>
        <w:rPr>
          <w:rFonts w:hint="eastAsia" w:ascii="宋体" w:hAnsi="宋体" w:eastAsia="宋体" w:cs="宋体"/>
          <w:b/>
          <w:color w:val="auto"/>
          <w:sz w:val="24"/>
        </w:rPr>
        <w:t>四、</w:t>
      </w:r>
      <w:r>
        <w:rPr>
          <w:rFonts w:hint="eastAsia" w:ascii="宋体" w:hAnsi="宋体" w:eastAsia="宋体" w:cs="宋体"/>
          <w:b/>
          <w:bCs/>
          <w:color w:val="auto"/>
          <w:sz w:val="24"/>
        </w:rPr>
        <w:t>报价要求</w:t>
      </w:r>
    </w:p>
    <w:p w14:paraId="24DECB35">
      <w:pPr>
        <w:pageBreakBefore w:val="0"/>
        <w:shd w:val="clear" w:color="auto" w:fill="FFFFFF" w:themeFill="background1"/>
        <w:kinsoku/>
        <w:wordWrap/>
        <w:overflowPunct/>
        <w:topLinePunct w:val="0"/>
        <w:bidi w:val="0"/>
        <w:snapToGrid/>
        <w:spacing w:line="400" w:lineRule="exact"/>
        <w:ind w:firstLine="420" w:firstLineChars="200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本项目报价包含本项目需求的全部货物及所需附件购置费、配套设备、包装费、运输费、人工费、保险费、安装调试费（中标人应服从院方统一管理，规范施工，确保安全生产。如涉及墙面，电路，装修等改动产生的相关费用请综合考虑，包含在总报价中）、各种税费、资料费、售后服务费及完成项目应有的全部费用（</w:t>
      </w:r>
      <w:r>
        <w:rPr>
          <w:rFonts w:hint="eastAsia" w:ascii="宋体" w:hAnsi="宋体" w:eastAsia="宋体" w:cs="宋体"/>
          <w:bCs/>
          <w:color w:val="auto"/>
          <w:sz w:val="21"/>
          <w:szCs w:val="21"/>
        </w:rPr>
        <w:t>除上述采购需求列明的货物需求外，如投标人所投产品须配套其他必要的货物方可正常使用的，投标人须为本项目配备，如与医院系统端口连接等，涉及开放接口的,采购人负责协调接口开放,费用包含在报价中），采购人后期不再追加任何费用，请投标人谨慎报价。</w:t>
      </w:r>
    </w:p>
    <w:p w14:paraId="6E74688B">
      <w:pPr>
        <w:keepNext/>
        <w:keepLines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00" w:lineRule="exact"/>
        <w:jc w:val="left"/>
        <w:textAlignment w:val="auto"/>
        <w:outlineLvl w:val="2"/>
        <w:rPr>
          <w:rFonts w:hint="eastAsia" w:ascii="宋体" w:hAnsi="宋体" w:eastAsia="宋体" w:cs="宋体"/>
          <w:b/>
          <w:color w:val="auto"/>
          <w:kern w:val="0"/>
          <w:sz w:val="24"/>
        </w:rPr>
      </w:pPr>
      <w:bookmarkStart w:id="3" w:name="_Toc21193"/>
      <w:bookmarkStart w:id="4" w:name="_Toc23557"/>
      <w:r>
        <w:rPr>
          <w:rFonts w:hint="eastAsia" w:ascii="宋体" w:hAnsi="宋体" w:eastAsia="宋体" w:cs="宋体"/>
          <w:b/>
          <w:color w:val="auto"/>
          <w:kern w:val="0"/>
          <w:sz w:val="24"/>
        </w:rPr>
        <w:t>五、货物质量及售后服务要求</w:t>
      </w:r>
      <w:bookmarkEnd w:id="3"/>
      <w:bookmarkEnd w:id="4"/>
    </w:p>
    <w:p w14:paraId="78E0FF37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4"/>
        </w:rPr>
        <w:t xml:space="preserve">  </w:t>
      </w: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  1、货物质量：中标人提供的货物必须是全新、原装、合格正品，完全符合国家规定的质量标准和厂方的标准。货物完好，配件齐全。</w:t>
      </w:r>
    </w:p>
    <w:p w14:paraId="5BCDD201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2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2、保修及售后服务：依据商品的保修条款及售后服务条款，提供原厂质保，质保期按照国家规定，且不低于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年。质保期从货物验收合格后算起。</w:t>
      </w:r>
    </w:p>
    <w:p w14:paraId="1AEFADB3">
      <w:pPr>
        <w:keepNext/>
        <w:keepLines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00" w:lineRule="exact"/>
        <w:jc w:val="left"/>
        <w:textAlignment w:val="auto"/>
        <w:outlineLvl w:val="2"/>
        <w:rPr>
          <w:rFonts w:hint="eastAsia" w:ascii="宋体" w:hAnsi="宋体" w:eastAsia="宋体" w:cs="宋体"/>
          <w:b/>
          <w:color w:val="auto"/>
          <w:kern w:val="0"/>
          <w:sz w:val="24"/>
        </w:rPr>
      </w:pPr>
      <w:bookmarkStart w:id="5" w:name="_Toc7485"/>
      <w:bookmarkStart w:id="6" w:name="_Toc23093"/>
      <w:r>
        <w:rPr>
          <w:rFonts w:hint="eastAsia" w:ascii="宋体" w:hAnsi="宋体" w:eastAsia="宋体" w:cs="宋体"/>
          <w:b/>
          <w:color w:val="auto"/>
          <w:kern w:val="0"/>
          <w:sz w:val="24"/>
        </w:rPr>
        <w:t>六、验收</w:t>
      </w:r>
      <w:bookmarkEnd w:id="5"/>
      <w:bookmarkEnd w:id="6"/>
    </w:p>
    <w:p w14:paraId="4F4165AE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中标人和采购人双方共同实施验收工作，结果和验收报告经双方确认后生效。</w:t>
      </w:r>
    </w:p>
    <w:p w14:paraId="7A4F7C07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066CD750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0F55013D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5EAF2A8C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3AB98216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5B64A772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21D9865D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51AD12E9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58E66DAA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50A9D924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29DE938C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1A6FEC71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36171B3E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0D1B3AEA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0F4194DD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70C5F39E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272CD794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192E7762">
      <w:pPr>
        <w:pageBreakBefore w:val="0"/>
        <w:widowControl/>
        <w:kinsoku/>
        <w:wordWrap/>
        <w:overflowPunct/>
        <w:topLinePunct w:val="0"/>
        <w:bidi w:val="0"/>
        <w:snapToGrid/>
        <w:spacing w:line="400" w:lineRule="exact"/>
        <w:ind w:firstLine="480"/>
        <w:jc w:val="left"/>
        <w:textAlignment w:val="auto"/>
        <w:rPr>
          <w:rFonts w:hint="eastAsia" w:ascii="宋体" w:hAnsi="宋体" w:eastAsia="宋体" w:cs="宋体"/>
          <w:color w:val="auto"/>
          <w:sz w:val="21"/>
          <w:szCs w:val="21"/>
        </w:rPr>
      </w:pPr>
    </w:p>
    <w:p w14:paraId="1DCEBAFC">
      <w:pPr>
        <w:rPr>
          <w:rFonts w:hint="eastAsia" w:ascii="宋体" w:hAnsi="宋体" w:eastAsia="宋体" w:cs="宋体"/>
          <w:color w:val="auto"/>
        </w:rPr>
      </w:pPr>
    </w:p>
    <w:p w14:paraId="6921DC02">
      <w:pPr>
        <w:pStyle w:val="7"/>
        <w:rPr>
          <w:rFonts w:hint="eastAsia" w:ascii="宋体" w:hAnsi="宋体" w:eastAsia="宋体" w:cs="宋体"/>
          <w:color w:val="auto"/>
        </w:rPr>
      </w:pPr>
    </w:p>
    <w:p w14:paraId="3DD00DE1">
      <w:pPr>
        <w:spacing w:line="360" w:lineRule="auto"/>
        <w:rPr>
          <w:rFonts w:hint="eastAsia" w:ascii="宋体" w:hAnsi="宋体" w:eastAsia="宋体" w:cs="宋体"/>
          <w:color w:val="auto"/>
        </w:rPr>
      </w:pPr>
    </w:p>
    <w:sectPr>
      <w:footerReference r:id="rId3" w:type="default"/>
      <w:pgSz w:w="11906" w:h="16838"/>
      <w:pgMar w:top="1418" w:right="1418" w:bottom="1418" w:left="1418" w:header="680" w:footer="680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Bookman Old Style">
    <w:panose1 w:val="02050604050505020204"/>
    <w:charset w:val="00"/>
    <w:family w:val="roman"/>
    <w:pitch w:val="default"/>
    <w:sig w:usb0="00000287" w:usb1="00000000" w:usb2="00000000" w:usb3="00000000" w:csb0="2000009F" w:csb1="DFD7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53F6F1">
    <w:pPr>
      <w:pStyle w:val="17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867410" cy="157480"/>
              <wp:effectExtent l="0" t="0" r="0" b="0"/>
              <wp:wrapNone/>
              <wp:docPr id="2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67410" cy="157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2C16EE6">
                          <w:pPr>
                            <w:snapToGrid w:val="0"/>
                            <w:ind w:left="270" w:hanging="270" w:hangingChars="15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第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页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5" o:spid="_x0000_s1026" o:spt="202" type="#_x0000_t202" style="position:absolute;left:0pt;margin-top:0pt;height:12.4pt;width:68.3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2C16EE6">
                    <w:pPr>
                      <w:snapToGrid w:val="0"/>
                      <w:ind w:left="270" w:hanging="270" w:hangingChars="15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t>第</w:t>
                    </w: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  <w:r>
                      <w:rPr>
                        <w:rFonts w:hint="eastAsia"/>
                        <w:sz w:val="18"/>
                      </w:rPr>
                      <w:t>页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9BC8377"/>
    <w:multiLevelType w:val="singleLevel"/>
    <w:tmpl w:val="A9BC8377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EyYzQwM2RiYTlmZTI4MGY2YWUxODNmNjA1Yzc3MmQifQ=="/>
  </w:docVars>
  <w:rsids>
    <w:rsidRoot w:val="00974403"/>
    <w:rsid w:val="00000CA4"/>
    <w:rsid w:val="000025BE"/>
    <w:rsid w:val="000028B9"/>
    <w:rsid w:val="000038D3"/>
    <w:rsid w:val="00005DEE"/>
    <w:rsid w:val="000111E9"/>
    <w:rsid w:val="0001277C"/>
    <w:rsid w:val="00012A35"/>
    <w:rsid w:val="00022F61"/>
    <w:rsid w:val="00031EF4"/>
    <w:rsid w:val="00032313"/>
    <w:rsid w:val="00034BA1"/>
    <w:rsid w:val="000400B3"/>
    <w:rsid w:val="000439D7"/>
    <w:rsid w:val="00046E08"/>
    <w:rsid w:val="00047188"/>
    <w:rsid w:val="0004772B"/>
    <w:rsid w:val="00065389"/>
    <w:rsid w:val="00070EDC"/>
    <w:rsid w:val="000714ED"/>
    <w:rsid w:val="0007284A"/>
    <w:rsid w:val="00077F29"/>
    <w:rsid w:val="00084249"/>
    <w:rsid w:val="00086A13"/>
    <w:rsid w:val="00090A05"/>
    <w:rsid w:val="0009141C"/>
    <w:rsid w:val="0009769C"/>
    <w:rsid w:val="000A6DB3"/>
    <w:rsid w:val="000B1AE3"/>
    <w:rsid w:val="000B56E7"/>
    <w:rsid w:val="000C121D"/>
    <w:rsid w:val="000C1BB4"/>
    <w:rsid w:val="000C247F"/>
    <w:rsid w:val="000C3EF1"/>
    <w:rsid w:val="000C7CD2"/>
    <w:rsid w:val="000D51F5"/>
    <w:rsid w:val="000E2310"/>
    <w:rsid w:val="000E3657"/>
    <w:rsid w:val="000E51C3"/>
    <w:rsid w:val="000F685E"/>
    <w:rsid w:val="00101D88"/>
    <w:rsid w:val="00120438"/>
    <w:rsid w:val="00121B9E"/>
    <w:rsid w:val="00127B2B"/>
    <w:rsid w:val="00136777"/>
    <w:rsid w:val="001425FF"/>
    <w:rsid w:val="00143AFB"/>
    <w:rsid w:val="00144B9C"/>
    <w:rsid w:val="00146A8E"/>
    <w:rsid w:val="00146D70"/>
    <w:rsid w:val="0015194A"/>
    <w:rsid w:val="00152281"/>
    <w:rsid w:val="00152565"/>
    <w:rsid w:val="00152614"/>
    <w:rsid w:val="00164680"/>
    <w:rsid w:val="001656AC"/>
    <w:rsid w:val="00167F1B"/>
    <w:rsid w:val="00174123"/>
    <w:rsid w:val="00174214"/>
    <w:rsid w:val="001747B9"/>
    <w:rsid w:val="001750BA"/>
    <w:rsid w:val="001775CA"/>
    <w:rsid w:val="001821C8"/>
    <w:rsid w:val="001929D7"/>
    <w:rsid w:val="00194741"/>
    <w:rsid w:val="00195CE7"/>
    <w:rsid w:val="001A0012"/>
    <w:rsid w:val="001A3669"/>
    <w:rsid w:val="001B2452"/>
    <w:rsid w:val="001C1ADC"/>
    <w:rsid w:val="001C5B29"/>
    <w:rsid w:val="001D3B2E"/>
    <w:rsid w:val="001D7255"/>
    <w:rsid w:val="001E3407"/>
    <w:rsid w:val="001E3641"/>
    <w:rsid w:val="001E592C"/>
    <w:rsid w:val="001F3912"/>
    <w:rsid w:val="001F729F"/>
    <w:rsid w:val="001F735B"/>
    <w:rsid w:val="002044C6"/>
    <w:rsid w:val="00210A7B"/>
    <w:rsid w:val="00213381"/>
    <w:rsid w:val="00216BB4"/>
    <w:rsid w:val="00225DBD"/>
    <w:rsid w:val="00225FF2"/>
    <w:rsid w:val="002304E4"/>
    <w:rsid w:val="00230ACB"/>
    <w:rsid w:val="0023434D"/>
    <w:rsid w:val="00235623"/>
    <w:rsid w:val="00237A36"/>
    <w:rsid w:val="00240F2E"/>
    <w:rsid w:val="00241645"/>
    <w:rsid w:val="00250A9A"/>
    <w:rsid w:val="00256360"/>
    <w:rsid w:val="00271008"/>
    <w:rsid w:val="00273182"/>
    <w:rsid w:val="00275AB8"/>
    <w:rsid w:val="0028358E"/>
    <w:rsid w:val="00293437"/>
    <w:rsid w:val="0029396C"/>
    <w:rsid w:val="00295B1D"/>
    <w:rsid w:val="002A6388"/>
    <w:rsid w:val="002C08D3"/>
    <w:rsid w:val="002C08F7"/>
    <w:rsid w:val="002C1EEC"/>
    <w:rsid w:val="002C5588"/>
    <w:rsid w:val="002C56C6"/>
    <w:rsid w:val="002D0B37"/>
    <w:rsid w:val="002D1077"/>
    <w:rsid w:val="002D6434"/>
    <w:rsid w:val="002D6831"/>
    <w:rsid w:val="002E38DB"/>
    <w:rsid w:val="002E401F"/>
    <w:rsid w:val="002E66A3"/>
    <w:rsid w:val="002F471A"/>
    <w:rsid w:val="002F491B"/>
    <w:rsid w:val="003017B6"/>
    <w:rsid w:val="00311F2A"/>
    <w:rsid w:val="003154E3"/>
    <w:rsid w:val="00317E87"/>
    <w:rsid w:val="00320D83"/>
    <w:rsid w:val="0032739C"/>
    <w:rsid w:val="003364F8"/>
    <w:rsid w:val="00337E7F"/>
    <w:rsid w:val="00350081"/>
    <w:rsid w:val="003505A5"/>
    <w:rsid w:val="0035114D"/>
    <w:rsid w:val="00352BE8"/>
    <w:rsid w:val="00353253"/>
    <w:rsid w:val="00355BE2"/>
    <w:rsid w:val="003560E8"/>
    <w:rsid w:val="003574F4"/>
    <w:rsid w:val="00362BC2"/>
    <w:rsid w:val="00364762"/>
    <w:rsid w:val="003655A4"/>
    <w:rsid w:val="00374504"/>
    <w:rsid w:val="00381403"/>
    <w:rsid w:val="003874CC"/>
    <w:rsid w:val="003903D9"/>
    <w:rsid w:val="003951A5"/>
    <w:rsid w:val="003A0382"/>
    <w:rsid w:val="003A41B6"/>
    <w:rsid w:val="003A4BAE"/>
    <w:rsid w:val="003A4D60"/>
    <w:rsid w:val="003A720D"/>
    <w:rsid w:val="003B3B22"/>
    <w:rsid w:val="003B40BA"/>
    <w:rsid w:val="003B758D"/>
    <w:rsid w:val="003C5729"/>
    <w:rsid w:val="003D0CF2"/>
    <w:rsid w:val="003D2B57"/>
    <w:rsid w:val="003D2E35"/>
    <w:rsid w:val="003D5217"/>
    <w:rsid w:val="003D66D7"/>
    <w:rsid w:val="003E0784"/>
    <w:rsid w:val="003E182B"/>
    <w:rsid w:val="003E38C9"/>
    <w:rsid w:val="003E4731"/>
    <w:rsid w:val="003E4AFC"/>
    <w:rsid w:val="003F45EA"/>
    <w:rsid w:val="003F4EA5"/>
    <w:rsid w:val="00400DAC"/>
    <w:rsid w:val="00401143"/>
    <w:rsid w:val="0040572D"/>
    <w:rsid w:val="00406F07"/>
    <w:rsid w:val="00407F54"/>
    <w:rsid w:val="00412C04"/>
    <w:rsid w:val="00413E0B"/>
    <w:rsid w:val="00414DF9"/>
    <w:rsid w:val="004168C0"/>
    <w:rsid w:val="0042088B"/>
    <w:rsid w:val="004210D5"/>
    <w:rsid w:val="00425037"/>
    <w:rsid w:val="0042515C"/>
    <w:rsid w:val="00426D77"/>
    <w:rsid w:val="004278E0"/>
    <w:rsid w:val="00430C6F"/>
    <w:rsid w:val="00432AC8"/>
    <w:rsid w:val="00432B82"/>
    <w:rsid w:val="00435B56"/>
    <w:rsid w:val="00440652"/>
    <w:rsid w:val="004422CD"/>
    <w:rsid w:val="004466F4"/>
    <w:rsid w:val="004516A9"/>
    <w:rsid w:val="00452BFC"/>
    <w:rsid w:val="0045556D"/>
    <w:rsid w:val="004569B2"/>
    <w:rsid w:val="0045756D"/>
    <w:rsid w:val="004577A1"/>
    <w:rsid w:val="004613CC"/>
    <w:rsid w:val="004643AA"/>
    <w:rsid w:val="0047554F"/>
    <w:rsid w:val="004770B1"/>
    <w:rsid w:val="00477372"/>
    <w:rsid w:val="0048305D"/>
    <w:rsid w:val="00486307"/>
    <w:rsid w:val="0049124C"/>
    <w:rsid w:val="00492C2E"/>
    <w:rsid w:val="004948AC"/>
    <w:rsid w:val="00495D4F"/>
    <w:rsid w:val="004A23DC"/>
    <w:rsid w:val="004B00C2"/>
    <w:rsid w:val="004B02B0"/>
    <w:rsid w:val="004B11B0"/>
    <w:rsid w:val="004B3626"/>
    <w:rsid w:val="004C36A9"/>
    <w:rsid w:val="004C4C43"/>
    <w:rsid w:val="004C5A10"/>
    <w:rsid w:val="004D1F25"/>
    <w:rsid w:val="004D3331"/>
    <w:rsid w:val="004D7722"/>
    <w:rsid w:val="004E2664"/>
    <w:rsid w:val="004E600A"/>
    <w:rsid w:val="004F04F9"/>
    <w:rsid w:val="004F3C93"/>
    <w:rsid w:val="004F49D3"/>
    <w:rsid w:val="004F5FBB"/>
    <w:rsid w:val="004F76CB"/>
    <w:rsid w:val="00516DC8"/>
    <w:rsid w:val="00517867"/>
    <w:rsid w:val="005206B9"/>
    <w:rsid w:val="0052348F"/>
    <w:rsid w:val="005234DC"/>
    <w:rsid w:val="00525388"/>
    <w:rsid w:val="00527529"/>
    <w:rsid w:val="00527686"/>
    <w:rsid w:val="00531B8A"/>
    <w:rsid w:val="00535D78"/>
    <w:rsid w:val="00540A39"/>
    <w:rsid w:val="00544C3B"/>
    <w:rsid w:val="00552A7A"/>
    <w:rsid w:val="00552D65"/>
    <w:rsid w:val="00557185"/>
    <w:rsid w:val="005571CA"/>
    <w:rsid w:val="00563854"/>
    <w:rsid w:val="00574FE3"/>
    <w:rsid w:val="00580189"/>
    <w:rsid w:val="00583823"/>
    <w:rsid w:val="005844A7"/>
    <w:rsid w:val="00586EE9"/>
    <w:rsid w:val="005873CA"/>
    <w:rsid w:val="005923FA"/>
    <w:rsid w:val="00592CD5"/>
    <w:rsid w:val="005A2693"/>
    <w:rsid w:val="005A316B"/>
    <w:rsid w:val="005A39FF"/>
    <w:rsid w:val="005A3DB2"/>
    <w:rsid w:val="005A485B"/>
    <w:rsid w:val="005B32C8"/>
    <w:rsid w:val="005B6B7D"/>
    <w:rsid w:val="005C0B2E"/>
    <w:rsid w:val="005D1A1C"/>
    <w:rsid w:val="005D4036"/>
    <w:rsid w:val="005D4810"/>
    <w:rsid w:val="005E253C"/>
    <w:rsid w:val="005E4074"/>
    <w:rsid w:val="005E40AC"/>
    <w:rsid w:val="005F37AD"/>
    <w:rsid w:val="0060239F"/>
    <w:rsid w:val="0060329A"/>
    <w:rsid w:val="006059E6"/>
    <w:rsid w:val="00606BCB"/>
    <w:rsid w:val="00607857"/>
    <w:rsid w:val="0061458A"/>
    <w:rsid w:val="00616DC9"/>
    <w:rsid w:val="00617ABA"/>
    <w:rsid w:val="00626B15"/>
    <w:rsid w:val="0063553E"/>
    <w:rsid w:val="006407A9"/>
    <w:rsid w:val="0064407B"/>
    <w:rsid w:val="00647D64"/>
    <w:rsid w:val="00652044"/>
    <w:rsid w:val="00652A37"/>
    <w:rsid w:val="00654610"/>
    <w:rsid w:val="00655C5B"/>
    <w:rsid w:val="0065780A"/>
    <w:rsid w:val="00662DFA"/>
    <w:rsid w:val="00665480"/>
    <w:rsid w:val="006718DE"/>
    <w:rsid w:val="0067367E"/>
    <w:rsid w:val="006737B0"/>
    <w:rsid w:val="00676469"/>
    <w:rsid w:val="00676B4E"/>
    <w:rsid w:val="00691801"/>
    <w:rsid w:val="006A1DEC"/>
    <w:rsid w:val="006A4589"/>
    <w:rsid w:val="006A66E1"/>
    <w:rsid w:val="006B040B"/>
    <w:rsid w:val="006B1191"/>
    <w:rsid w:val="006B1CC7"/>
    <w:rsid w:val="006B3E33"/>
    <w:rsid w:val="006B53D4"/>
    <w:rsid w:val="006B5C9D"/>
    <w:rsid w:val="006C1469"/>
    <w:rsid w:val="006C3950"/>
    <w:rsid w:val="006D48A5"/>
    <w:rsid w:val="006D49E3"/>
    <w:rsid w:val="006D69A5"/>
    <w:rsid w:val="006D7B30"/>
    <w:rsid w:val="006E4897"/>
    <w:rsid w:val="006F0328"/>
    <w:rsid w:val="006F1AD3"/>
    <w:rsid w:val="006F43B8"/>
    <w:rsid w:val="00700CA1"/>
    <w:rsid w:val="00702F97"/>
    <w:rsid w:val="00711D5E"/>
    <w:rsid w:val="00711FAF"/>
    <w:rsid w:val="0071268F"/>
    <w:rsid w:val="00712CD2"/>
    <w:rsid w:val="00717B11"/>
    <w:rsid w:val="00721EB0"/>
    <w:rsid w:val="007225B0"/>
    <w:rsid w:val="00727FAD"/>
    <w:rsid w:val="00735A89"/>
    <w:rsid w:val="00743E3F"/>
    <w:rsid w:val="007450B9"/>
    <w:rsid w:val="00746F5A"/>
    <w:rsid w:val="00747153"/>
    <w:rsid w:val="00750866"/>
    <w:rsid w:val="00751F72"/>
    <w:rsid w:val="007526F9"/>
    <w:rsid w:val="00763AD9"/>
    <w:rsid w:val="0076463C"/>
    <w:rsid w:val="007731AF"/>
    <w:rsid w:val="007766D7"/>
    <w:rsid w:val="00777A07"/>
    <w:rsid w:val="007831E3"/>
    <w:rsid w:val="00784065"/>
    <w:rsid w:val="007840C7"/>
    <w:rsid w:val="00784610"/>
    <w:rsid w:val="00791219"/>
    <w:rsid w:val="00797095"/>
    <w:rsid w:val="007A2293"/>
    <w:rsid w:val="007A736D"/>
    <w:rsid w:val="007A78D9"/>
    <w:rsid w:val="007B02C1"/>
    <w:rsid w:val="007B2DFA"/>
    <w:rsid w:val="007B39C6"/>
    <w:rsid w:val="007B6F19"/>
    <w:rsid w:val="007C174B"/>
    <w:rsid w:val="007C2812"/>
    <w:rsid w:val="007C6F03"/>
    <w:rsid w:val="007D100C"/>
    <w:rsid w:val="007D15B6"/>
    <w:rsid w:val="007D389A"/>
    <w:rsid w:val="007D653C"/>
    <w:rsid w:val="007E2E88"/>
    <w:rsid w:val="007F42EA"/>
    <w:rsid w:val="007F637E"/>
    <w:rsid w:val="007F6A05"/>
    <w:rsid w:val="007F75FD"/>
    <w:rsid w:val="008059C0"/>
    <w:rsid w:val="0080607C"/>
    <w:rsid w:val="00810524"/>
    <w:rsid w:val="00814051"/>
    <w:rsid w:val="00814231"/>
    <w:rsid w:val="008144CC"/>
    <w:rsid w:val="00815B07"/>
    <w:rsid w:val="00822FCF"/>
    <w:rsid w:val="008317E9"/>
    <w:rsid w:val="00831840"/>
    <w:rsid w:val="00832F6F"/>
    <w:rsid w:val="00833077"/>
    <w:rsid w:val="00837D84"/>
    <w:rsid w:val="00843394"/>
    <w:rsid w:val="00844008"/>
    <w:rsid w:val="00851D32"/>
    <w:rsid w:val="00855EE3"/>
    <w:rsid w:val="00857655"/>
    <w:rsid w:val="00863F45"/>
    <w:rsid w:val="00873828"/>
    <w:rsid w:val="0089322A"/>
    <w:rsid w:val="008941EB"/>
    <w:rsid w:val="00894CD6"/>
    <w:rsid w:val="00896ED7"/>
    <w:rsid w:val="008978A6"/>
    <w:rsid w:val="008A0021"/>
    <w:rsid w:val="008A41B5"/>
    <w:rsid w:val="008B0A8F"/>
    <w:rsid w:val="008B30BC"/>
    <w:rsid w:val="008B37F5"/>
    <w:rsid w:val="008B6A21"/>
    <w:rsid w:val="008C2EEB"/>
    <w:rsid w:val="008D0A9A"/>
    <w:rsid w:val="008D0C68"/>
    <w:rsid w:val="008D1166"/>
    <w:rsid w:val="008D53D5"/>
    <w:rsid w:val="008E2156"/>
    <w:rsid w:val="008E29FE"/>
    <w:rsid w:val="008E614C"/>
    <w:rsid w:val="008E763E"/>
    <w:rsid w:val="008F441C"/>
    <w:rsid w:val="008F46D9"/>
    <w:rsid w:val="0090059F"/>
    <w:rsid w:val="00900A9C"/>
    <w:rsid w:val="00902DA6"/>
    <w:rsid w:val="00902E66"/>
    <w:rsid w:val="00910D9B"/>
    <w:rsid w:val="0091387A"/>
    <w:rsid w:val="00913D45"/>
    <w:rsid w:val="009159D3"/>
    <w:rsid w:val="009213CF"/>
    <w:rsid w:val="00921701"/>
    <w:rsid w:val="00923F49"/>
    <w:rsid w:val="00925978"/>
    <w:rsid w:val="0092696E"/>
    <w:rsid w:val="00926BEC"/>
    <w:rsid w:val="00926C43"/>
    <w:rsid w:val="009333AF"/>
    <w:rsid w:val="00962FF3"/>
    <w:rsid w:val="009643D3"/>
    <w:rsid w:val="009658E7"/>
    <w:rsid w:val="009738FB"/>
    <w:rsid w:val="00974403"/>
    <w:rsid w:val="00983CB1"/>
    <w:rsid w:val="0099616B"/>
    <w:rsid w:val="00997745"/>
    <w:rsid w:val="009A629D"/>
    <w:rsid w:val="009B1001"/>
    <w:rsid w:val="009B668D"/>
    <w:rsid w:val="009C31A3"/>
    <w:rsid w:val="009C592C"/>
    <w:rsid w:val="009C6608"/>
    <w:rsid w:val="009D3DA5"/>
    <w:rsid w:val="009D4EC7"/>
    <w:rsid w:val="009E1607"/>
    <w:rsid w:val="009F583C"/>
    <w:rsid w:val="00A0097B"/>
    <w:rsid w:val="00A13D95"/>
    <w:rsid w:val="00A247E9"/>
    <w:rsid w:val="00A24DBA"/>
    <w:rsid w:val="00A30D73"/>
    <w:rsid w:val="00A34882"/>
    <w:rsid w:val="00A35B82"/>
    <w:rsid w:val="00A35E14"/>
    <w:rsid w:val="00A360C3"/>
    <w:rsid w:val="00A40350"/>
    <w:rsid w:val="00A42343"/>
    <w:rsid w:val="00A445CD"/>
    <w:rsid w:val="00A50809"/>
    <w:rsid w:val="00A50D00"/>
    <w:rsid w:val="00A55E06"/>
    <w:rsid w:val="00A56500"/>
    <w:rsid w:val="00A575F7"/>
    <w:rsid w:val="00A604FB"/>
    <w:rsid w:val="00A63398"/>
    <w:rsid w:val="00A64BC1"/>
    <w:rsid w:val="00A655D9"/>
    <w:rsid w:val="00A668C7"/>
    <w:rsid w:val="00A66C29"/>
    <w:rsid w:val="00A66FB9"/>
    <w:rsid w:val="00A74273"/>
    <w:rsid w:val="00A75C3F"/>
    <w:rsid w:val="00A82C4B"/>
    <w:rsid w:val="00AA1CE6"/>
    <w:rsid w:val="00AA5CCC"/>
    <w:rsid w:val="00AA6FD4"/>
    <w:rsid w:val="00AB2B26"/>
    <w:rsid w:val="00AC0840"/>
    <w:rsid w:val="00AC128F"/>
    <w:rsid w:val="00AC1EE0"/>
    <w:rsid w:val="00AD2E2C"/>
    <w:rsid w:val="00AD48EA"/>
    <w:rsid w:val="00AD7F77"/>
    <w:rsid w:val="00AE2515"/>
    <w:rsid w:val="00AE369F"/>
    <w:rsid w:val="00AE4E7A"/>
    <w:rsid w:val="00AE5346"/>
    <w:rsid w:val="00AF3B97"/>
    <w:rsid w:val="00AF455D"/>
    <w:rsid w:val="00AF7A47"/>
    <w:rsid w:val="00B01617"/>
    <w:rsid w:val="00B023FB"/>
    <w:rsid w:val="00B02B8A"/>
    <w:rsid w:val="00B02D38"/>
    <w:rsid w:val="00B0308E"/>
    <w:rsid w:val="00B05096"/>
    <w:rsid w:val="00B1049E"/>
    <w:rsid w:val="00B10997"/>
    <w:rsid w:val="00B123C8"/>
    <w:rsid w:val="00B12D65"/>
    <w:rsid w:val="00B16052"/>
    <w:rsid w:val="00B2200F"/>
    <w:rsid w:val="00B277C8"/>
    <w:rsid w:val="00B32149"/>
    <w:rsid w:val="00B34173"/>
    <w:rsid w:val="00B350EF"/>
    <w:rsid w:val="00B35AE5"/>
    <w:rsid w:val="00B3652E"/>
    <w:rsid w:val="00B427B0"/>
    <w:rsid w:val="00B43BA4"/>
    <w:rsid w:val="00B44964"/>
    <w:rsid w:val="00B44A28"/>
    <w:rsid w:val="00B5161D"/>
    <w:rsid w:val="00B55588"/>
    <w:rsid w:val="00B57A5F"/>
    <w:rsid w:val="00B616C1"/>
    <w:rsid w:val="00B63124"/>
    <w:rsid w:val="00B635E9"/>
    <w:rsid w:val="00B63B30"/>
    <w:rsid w:val="00B641D0"/>
    <w:rsid w:val="00B675B1"/>
    <w:rsid w:val="00B76A67"/>
    <w:rsid w:val="00B80B85"/>
    <w:rsid w:val="00B80DCA"/>
    <w:rsid w:val="00B861F4"/>
    <w:rsid w:val="00B879D3"/>
    <w:rsid w:val="00B9063A"/>
    <w:rsid w:val="00B92FAF"/>
    <w:rsid w:val="00B93F0B"/>
    <w:rsid w:val="00B9638C"/>
    <w:rsid w:val="00B97F80"/>
    <w:rsid w:val="00BA1825"/>
    <w:rsid w:val="00BA21CB"/>
    <w:rsid w:val="00BA350E"/>
    <w:rsid w:val="00BA4F5D"/>
    <w:rsid w:val="00BB45D2"/>
    <w:rsid w:val="00BB4898"/>
    <w:rsid w:val="00BC18F8"/>
    <w:rsid w:val="00BC196B"/>
    <w:rsid w:val="00BC54A9"/>
    <w:rsid w:val="00BD5675"/>
    <w:rsid w:val="00BD7D06"/>
    <w:rsid w:val="00BE4AF1"/>
    <w:rsid w:val="00BF31C9"/>
    <w:rsid w:val="00BF7878"/>
    <w:rsid w:val="00C00EA2"/>
    <w:rsid w:val="00C022EE"/>
    <w:rsid w:val="00C02E84"/>
    <w:rsid w:val="00C055B6"/>
    <w:rsid w:val="00C075A0"/>
    <w:rsid w:val="00C11D2D"/>
    <w:rsid w:val="00C17FE7"/>
    <w:rsid w:val="00C218CB"/>
    <w:rsid w:val="00C24AD6"/>
    <w:rsid w:val="00C24AD9"/>
    <w:rsid w:val="00C27680"/>
    <w:rsid w:val="00C27F51"/>
    <w:rsid w:val="00C30497"/>
    <w:rsid w:val="00C31F6E"/>
    <w:rsid w:val="00C34C25"/>
    <w:rsid w:val="00C354CA"/>
    <w:rsid w:val="00C3655F"/>
    <w:rsid w:val="00C5182E"/>
    <w:rsid w:val="00C51E70"/>
    <w:rsid w:val="00C55C35"/>
    <w:rsid w:val="00C56253"/>
    <w:rsid w:val="00C605C8"/>
    <w:rsid w:val="00C609F3"/>
    <w:rsid w:val="00C63CF3"/>
    <w:rsid w:val="00C65E73"/>
    <w:rsid w:val="00C72857"/>
    <w:rsid w:val="00C7447D"/>
    <w:rsid w:val="00C74BA9"/>
    <w:rsid w:val="00C91B0A"/>
    <w:rsid w:val="00C91EA3"/>
    <w:rsid w:val="00C922A2"/>
    <w:rsid w:val="00C97926"/>
    <w:rsid w:val="00CA331F"/>
    <w:rsid w:val="00CA5C74"/>
    <w:rsid w:val="00CB7817"/>
    <w:rsid w:val="00CC0C07"/>
    <w:rsid w:val="00CC25D8"/>
    <w:rsid w:val="00CC4610"/>
    <w:rsid w:val="00CC5F86"/>
    <w:rsid w:val="00CC74AB"/>
    <w:rsid w:val="00CD38EC"/>
    <w:rsid w:val="00CD749F"/>
    <w:rsid w:val="00CE1992"/>
    <w:rsid w:val="00CE602D"/>
    <w:rsid w:val="00CF232F"/>
    <w:rsid w:val="00CF2ACA"/>
    <w:rsid w:val="00CF2F64"/>
    <w:rsid w:val="00D00DAB"/>
    <w:rsid w:val="00D00EA9"/>
    <w:rsid w:val="00D06B4E"/>
    <w:rsid w:val="00D0718A"/>
    <w:rsid w:val="00D134AB"/>
    <w:rsid w:val="00D136DE"/>
    <w:rsid w:val="00D1483B"/>
    <w:rsid w:val="00D16D54"/>
    <w:rsid w:val="00D2048C"/>
    <w:rsid w:val="00D24C7C"/>
    <w:rsid w:val="00D30F82"/>
    <w:rsid w:val="00D315B4"/>
    <w:rsid w:val="00D31D01"/>
    <w:rsid w:val="00D3353A"/>
    <w:rsid w:val="00D356C4"/>
    <w:rsid w:val="00D3663D"/>
    <w:rsid w:val="00D4173B"/>
    <w:rsid w:val="00D443B1"/>
    <w:rsid w:val="00D44E09"/>
    <w:rsid w:val="00D45119"/>
    <w:rsid w:val="00D51251"/>
    <w:rsid w:val="00D51629"/>
    <w:rsid w:val="00D57E04"/>
    <w:rsid w:val="00D60170"/>
    <w:rsid w:val="00D61D30"/>
    <w:rsid w:val="00D64968"/>
    <w:rsid w:val="00D67A5E"/>
    <w:rsid w:val="00D702B9"/>
    <w:rsid w:val="00D70648"/>
    <w:rsid w:val="00D7075E"/>
    <w:rsid w:val="00D73985"/>
    <w:rsid w:val="00D75AB8"/>
    <w:rsid w:val="00D8136C"/>
    <w:rsid w:val="00D817AD"/>
    <w:rsid w:val="00D859FE"/>
    <w:rsid w:val="00D86F85"/>
    <w:rsid w:val="00D95158"/>
    <w:rsid w:val="00D951AF"/>
    <w:rsid w:val="00D979E2"/>
    <w:rsid w:val="00DA2345"/>
    <w:rsid w:val="00DA32FE"/>
    <w:rsid w:val="00DB13A0"/>
    <w:rsid w:val="00DB29C1"/>
    <w:rsid w:val="00DB2E69"/>
    <w:rsid w:val="00DC1855"/>
    <w:rsid w:val="00DC1D41"/>
    <w:rsid w:val="00DD2A4E"/>
    <w:rsid w:val="00DD3AA1"/>
    <w:rsid w:val="00DD42E6"/>
    <w:rsid w:val="00DE2D9C"/>
    <w:rsid w:val="00DE6CCF"/>
    <w:rsid w:val="00E03F53"/>
    <w:rsid w:val="00E063DF"/>
    <w:rsid w:val="00E10F85"/>
    <w:rsid w:val="00E1191E"/>
    <w:rsid w:val="00E1210F"/>
    <w:rsid w:val="00E171F1"/>
    <w:rsid w:val="00E17958"/>
    <w:rsid w:val="00E21CB6"/>
    <w:rsid w:val="00E22109"/>
    <w:rsid w:val="00E23FC1"/>
    <w:rsid w:val="00E2683D"/>
    <w:rsid w:val="00E33715"/>
    <w:rsid w:val="00E43F22"/>
    <w:rsid w:val="00E52FB9"/>
    <w:rsid w:val="00E576FE"/>
    <w:rsid w:val="00E609B4"/>
    <w:rsid w:val="00E61818"/>
    <w:rsid w:val="00E643FF"/>
    <w:rsid w:val="00E65BB2"/>
    <w:rsid w:val="00E67B7C"/>
    <w:rsid w:val="00E71A1E"/>
    <w:rsid w:val="00E71FFF"/>
    <w:rsid w:val="00E745B8"/>
    <w:rsid w:val="00E86084"/>
    <w:rsid w:val="00E92086"/>
    <w:rsid w:val="00E931FE"/>
    <w:rsid w:val="00E96C47"/>
    <w:rsid w:val="00EA0016"/>
    <w:rsid w:val="00EA35EA"/>
    <w:rsid w:val="00EA4D6A"/>
    <w:rsid w:val="00EA7FBA"/>
    <w:rsid w:val="00EB0818"/>
    <w:rsid w:val="00EB12A8"/>
    <w:rsid w:val="00EB6FAC"/>
    <w:rsid w:val="00EB71E6"/>
    <w:rsid w:val="00EB7DDC"/>
    <w:rsid w:val="00EC618C"/>
    <w:rsid w:val="00EC618E"/>
    <w:rsid w:val="00EC6471"/>
    <w:rsid w:val="00ED0D6C"/>
    <w:rsid w:val="00ED1580"/>
    <w:rsid w:val="00ED1987"/>
    <w:rsid w:val="00ED3D76"/>
    <w:rsid w:val="00EE11A2"/>
    <w:rsid w:val="00EE4E42"/>
    <w:rsid w:val="00EE64DD"/>
    <w:rsid w:val="00EF2AD3"/>
    <w:rsid w:val="00EF2C6B"/>
    <w:rsid w:val="00EF3A08"/>
    <w:rsid w:val="00EF5567"/>
    <w:rsid w:val="00EF7354"/>
    <w:rsid w:val="00F00413"/>
    <w:rsid w:val="00F00BAE"/>
    <w:rsid w:val="00F00F4C"/>
    <w:rsid w:val="00F10055"/>
    <w:rsid w:val="00F22058"/>
    <w:rsid w:val="00F22702"/>
    <w:rsid w:val="00F235B4"/>
    <w:rsid w:val="00F30BC8"/>
    <w:rsid w:val="00F32E55"/>
    <w:rsid w:val="00F366DE"/>
    <w:rsid w:val="00F37315"/>
    <w:rsid w:val="00F43154"/>
    <w:rsid w:val="00F443C9"/>
    <w:rsid w:val="00F47949"/>
    <w:rsid w:val="00F5247B"/>
    <w:rsid w:val="00F573C5"/>
    <w:rsid w:val="00F65FC9"/>
    <w:rsid w:val="00F664C0"/>
    <w:rsid w:val="00F66552"/>
    <w:rsid w:val="00F6729D"/>
    <w:rsid w:val="00F741AC"/>
    <w:rsid w:val="00F74C69"/>
    <w:rsid w:val="00F75B4D"/>
    <w:rsid w:val="00F7697E"/>
    <w:rsid w:val="00F8286B"/>
    <w:rsid w:val="00F82C67"/>
    <w:rsid w:val="00F8334C"/>
    <w:rsid w:val="00F922CD"/>
    <w:rsid w:val="00FA0D7C"/>
    <w:rsid w:val="00FA3E95"/>
    <w:rsid w:val="00FB6E06"/>
    <w:rsid w:val="00FC34C5"/>
    <w:rsid w:val="00FC7C73"/>
    <w:rsid w:val="00FD169A"/>
    <w:rsid w:val="00FD425A"/>
    <w:rsid w:val="00FD4297"/>
    <w:rsid w:val="00FD4437"/>
    <w:rsid w:val="00FE0170"/>
    <w:rsid w:val="00FE034A"/>
    <w:rsid w:val="00FE0524"/>
    <w:rsid w:val="00FE243E"/>
    <w:rsid w:val="00FE4A13"/>
    <w:rsid w:val="00FE783D"/>
    <w:rsid w:val="02A26D8B"/>
    <w:rsid w:val="03116503"/>
    <w:rsid w:val="048F5216"/>
    <w:rsid w:val="09BD0781"/>
    <w:rsid w:val="0A3B4909"/>
    <w:rsid w:val="0AFD0EBC"/>
    <w:rsid w:val="0B3D0917"/>
    <w:rsid w:val="0C515F0D"/>
    <w:rsid w:val="0D3606B5"/>
    <w:rsid w:val="0D887701"/>
    <w:rsid w:val="0F366A3D"/>
    <w:rsid w:val="0F386966"/>
    <w:rsid w:val="0F966A04"/>
    <w:rsid w:val="122012EA"/>
    <w:rsid w:val="12406A1B"/>
    <w:rsid w:val="13510A1E"/>
    <w:rsid w:val="15451B45"/>
    <w:rsid w:val="18472B6C"/>
    <w:rsid w:val="186D58D3"/>
    <w:rsid w:val="18B23F56"/>
    <w:rsid w:val="1DB01DBE"/>
    <w:rsid w:val="1DB96EC4"/>
    <w:rsid w:val="1E481306"/>
    <w:rsid w:val="1FA41A02"/>
    <w:rsid w:val="20C97E31"/>
    <w:rsid w:val="21D818E3"/>
    <w:rsid w:val="22CD2B9F"/>
    <w:rsid w:val="23313C23"/>
    <w:rsid w:val="26B2243F"/>
    <w:rsid w:val="29F955C4"/>
    <w:rsid w:val="2AE5382E"/>
    <w:rsid w:val="2C51608C"/>
    <w:rsid w:val="2CBA4A07"/>
    <w:rsid w:val="2D3C0066"/>
    <w:rsid w:val="2E3E4F10"/>
    <w:rsid w:val="2E7B11A6"/>
    <w:rsid w:val="303F351D"/>
    <w:rsid w:val="30471E1A"/>
    <w:rsid w:val="304C6D84"/>
    <w:rsid w:val="322F5D3D"/>
    <w:rsid w:val="329F5DEA"/>
    <w:rsid w:val="33777439"/>
    <w:rsid w:val="34B00BC9"/>
    <w:rsid w:val="3573638B"/>
    <w:rsid w:val="36486557"/>
    <w:rsid w:val="36B801BB"/>
    <w:rsid w:val="36C4379B"/>
    <w:rsid w:val="386744AB"/>
    <w:rsid w:val="39504D91"/>
    <w:rsid w:val="39CB2F8A"/>
    <w:rsid w:val="39EB69CB"/>
    <w:rsid w:val="3A851035"/>
    <w:rsid w:val="3CA37474"/>
    <w:rsid w:val="3D136202"/>
    <w:rsid w:val="3D2E2080"/>
    <w:rsid w:val="40EF69FE"/>
    <w:rsid w:val="43452249"/>
    <w:rsid w:val="44CE5814"/>
    <w:rsid w:val="44F21D67"/>
    <w:rsid w:val="44FD1C58"/>
    <w:rsid w:val="45771E60"/>
    <w:rsid w:val="45B747DA"/>
    <w:rsid w:val="464A453E"/>
    <w:rsid w:val="469038CB"/>
    <w:rsid w:val="48A8729A"/>
    <w:rsid w:val="49A66FFC"/>
    <w:rsid w:val="49A738C8"/>
    <w:rsid w:val="49AB775A"/>
    <w:rsid w:val="4B3608B9"/>
    <w:rsid w:val="4BED4059"/>
    <w:rsid w:val="4C3726CD"/>
    <w:rsid w:val="4C8D4DA7"/>
    <w:rsid w:val="4E0C16D7"/>
    <w:rsid w:val="4EDB76B3"/>
    <w:rsid w:val="4F417B53"/>
    <w:rsid w:val="51941818"/>
    <w:rsid w:val="529C6295"/>
    <w:rsid w:val="53C332C7"/>
    <w:rsid w:val="55B52F08"/>
    <w:rsid w:val="55D56C74"/>
    <w:rsid w:val="567D676E"/>
    <w:rsid w:val="56BC4A51"/>
    <w:rsid w:val="58E05A41"/>
    <w:rsid w:val="5A670953"/>
    <w:rsid w:val="5AE76118"/>
    <w:rsid w:val="5B6A3DBB"/>
    <w:rsid w:val="5BA313D5"/>
    <w:rsid w:val="5BF45DD9"/>
    <w:rsid w:val="5C5F065B"/>
    <w:rsid w:val="5DA72829"/>
    <w:rsid w:val="5E824F54"/>
    <w:rsid w:val="5F0279C4"/>
    <w:rsid w:val="6003032E"/>
    <w:rsid w:val="6056191F"/>
    <w:rsid w:val="606E6A75"/>
    <w:rsid w:val="60C54BF7"/>
    <w:rsid w:val="623019F0"/>
    <w:rsid w:val="64167835"/>
    <w:rsid w:val="642B6D13"/>
    <w:rsid w:val="646E3616"/>
    <w:rsid w:val="648E02A0"/>
    <w:rsid w:val="64AE46B3"/>
    <w:rsid w:val="6523746B"/>
    <w:rsid w:val="6590126A"/>
    <w:rsid w:val="65FB4947"/>
    <w:rsid w:val="678444D4"/>
    <w:rsid w:val="69E228CC"/>
    <w:rsid w:val="6B730229"/>
    <w:rsid w:val="6B8A42A6"/>
    <w:rsid w:val="6C1A4636"/>
    <w:rsid w:val="6C4D6722"/>
    <w:rsid w:val="6C8C3392"/>
    <w:rsid w:val="6F143D87"/>
    <w:rsid w:val="70ED59E0"/>
    <w:rsid w:val="70F31B9B"/>
    <w:rsid w:val="714B5B80"/>
    <w:rsid w:val="73F7239D"/>
    <w:rsid w:val="7413339E"/>
    <w:rsid w:val="74796BCA"/>
    <w:rsid w:val="76535106"/>
    <w:rsid w:val="772B760F"/>
    <w:rsid w:val="788070C5"/>
    <w:rsid w:val="79DA24EB"/>
    <w:rsid w:val="79E56A66"/>
    <w:rsid w:val="7EF41152"/>
    <w:rsid w:val="7F164E5B"/>
    <w:rsid w:val="7FE20B2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qFormat="1" w:unhideWhenUsed="0" w:uiPriority="0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qFormat="1" w:unhideWhenUsed="0" w:uiPriority="39" w:semiHidden="0" w:name="toc 2"/>
    <w:lsdException w:qFormat="1" w:unhideWhenUsed="0"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qFormat="1" w:unhideWhenUsed="0" w:uiPriority="99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qFormat="1" w:uiPriority="99" w:semiHidden="0" w:name="envelope return"/>
    <w:lsdException w:uiPriority="99" w:name="footnote reference"/>
    <w:lsdException w:qFormat="1" w:unhideWhenUsed="0"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iPriority="99" w:name="Note Heading"/>
    <w:lsdException w:qFormat="1" w:unhideWhenUsed="0" w:uiPriority="0" w:semiHidden="0" w:name="Body Text 2"/>
    <w:lsdException w:uiPriority="99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link w:val="37"/>
    <w:autoRedefine/>
    <w:qFormat/>
    <w:uiPriority w:val="0"/>
    <w:pPr>
      <w:keepNext/>
      <w:keepLines/>
      <w:spacing w:before="100" w:after="100"/>
      <w:jc w:val="center"/>
      <w:outlineLvl w:val="0"/>
    </w:pPr>
    <w:rPr>
      <w:b/>
      <w:bCs/>
      <w:kern w:val="44"/>
      <w:sz w:val="32"/>
      <w:szCs w:val="44"/>
    </w:rPr>
  </w:style>
  <w:style w:type="paragraph" w:styleId="5">
    <w:name w:val="heading 2"/>
    <w:basedOn w:val="1"/>
    <w:next w:val="6"/>
    <w:link w:val="35"/>
    <w:autoRedefine/>
    <w:qFormat/>
    <w:uiPriority w:val="0"/>
    <w:pPr>
      <w:keepNext/>
      <w:keepLines/>
      <w:autoSpaceDE w:val="0"/>
      <w:autoSpaceDN w:val="0"/>
      <w:adjustRightInd w:val="0"/>
      <w:spacing w:before="120" w:line="360" w:lineRule="auto"/>
      <w:jc w:val="center"/>
      <w:outlineLvl w:val="1"/>
    </w:pPr>
    <w:rPr>
      <w:rFonts w:ascii="Arial" w:hAnsi="Arial"/>
      <w:b/>
      <w:kern w:val="0"/>
      <w:sz w:val="32"/>
      <w:szCs w:val="20"/>
    </w:rPr>
  </w:style>
  <w:style w:type="paragraph" w:styleId="7">
    <w:name w:val="heading 3"/>
    <w:basedOn w:val="1"/>
    <w:next w:val="1"/>
    <w:link w:val="50"/>
    <w:autoRedefine/>
    <w:qFormat/>
    <w:uiPriority w:val="0"/>
    <w:pPr>
      <w:keepNext/>
      <w:keepLines/>
      <w:wordWrap w:val="0"/>
      <w:autoSpaceDE w:val="0"/>
      <w:autoSpaceDN w:val="0"/>
      <w:adjustRightInd w:val="0"/>
      <w:spacing w:line="440" w:lineRule="exact"/>
      <w:jc w:val="left"/>
      <w:outlineLvl w:val="2"/>
    </w:pPr>
    <w:rPr>
      <w:rFonts w:ascii="宋体"/>
      <w:b/>
      <w:kern w:val="0"/>
      <w:sz w:val="24"/>
      <w:szCs w:val="20"/>
    </w:rPr>
  </w:style>
  <w:style w:type="character" w:default="1" w:styleId="28">
    <w:name w:val="Default Paragraph Font"/>
    <w:semiHidden/>
    <w:unhideWhenUsed/>
    <w:qFormat/>
    <w:uiPriority w:val="1"/>
  </w:style>
  <w:style w:type="table" w:default="1" w:styleId="2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模板普通正文"/>
    <w:basedOn w:val="3"/>
    <w:autoRedefine/>
    <w:qFormat/>
    <w:uiPriority w:val="0"/>
    <w:pPr>
      <w:spacing w:beforeLines="50" w:after="10"/>
      <w:ind w:firstLine="490" w:firstLineChars="175"/>
      <w:jc w:val="left"/>
    </w:pPr>
  </w:style>
  <w:style w:type="paragraph" w:styleId="3">
    <w:name w:val="Body Text Indent"/>
    <w:basedOn w:val="1"/>
    <w:link w:val="45"/>
    <w:autoRedefine/>
    <w:qFormat/>
    <w:uiPriority w:val="0"/>
    <w:pPr>
      <w:spacing w:after="120"/>
      <w:ind w:left="420" w:leftChars="200"/>
    </w:pPr>
  </w:style>
  <w:style w:type="paragraph" w:styleId="6">
    <w:name w:val="Normal Indent"/>
    <w:basedOn w:val="1"/>
    <w:link w:val="34"/>
    <w:autoRedefine/>
    <w:qFormat/>
    <w:uiPriority w:val="0"/>
    <w:pPr>
      <w:autoSpaceDE w:val="0"/>
      <w:autoSpaceDN w:val="0"/>
      <w:adjustRightInd w:val="0"/>
      <w:ind w:firstLine="420"/>
      <w:jc w:val="left"/>
    </w:pPr>
    <w:rPr>
      <w:rFonts w:ascii="宋体"/>
      <w:kern w:val="0"/>
      <w:sz w:val="24"/>
      <w:szCs w:val="20"/>
    </w:rPr>
  </w:style>
  <w:style w:type="paragraph" w:styleId="8">
    <w:name w:val="Document Map"/>
    <w:basedOn w:val="1"/>
    <w:link w:val="54"/>
    <w:autoRedefine/>
    <w:qFormat/>
    <w:uiPriority w:val="0"/>
    <w:rPr>
      <w:rFonts w:ascii="宋体" w:hAnsi="Calibri"/>
      <w:kern w:val="0"/>
      <w:sz w:val="18"/>
      <w:szCs w:val="18"/>
    </w:rPr>
  </w:style>
  <w:style w:type="paragraph" w:styleId="9">
    <w:name w:val="annotation text"/>
    <w:basedOn w:val="1"/>
    <w:link w:val="47"/>
    <w:autoRedefine/>
    <w:qFormat/>
    <w:uiPriority w:val="99"/>
    <w:pPr>
      <w:jc w:val="left"/>
    </w:pPr>
    <w:rPr>
      <w:rFonts w:ascii="Calibri" w:hAnsi="Calibri"/>
      <w:kern w:val="0"/>
      <w:sz w:val="20"/>
    </w:rPr>
  </w:style>
  <w:style w:type="paragraph" w:styleId="10">
    <w:name w:val="Body Text"/>
    <w:basedOn w:val="1"/>
    <w:next w:val="11"/>
    <w:link w:val="49"/>
    <w:autoRedefine/>
    <w:qFormat/>
    <w:uiPriority w:val="0"/>
    <w:pPr>
      <w:tabs>
        <w:tab w:val="left" w:pos="567"/>
      </w:tabs>
      <w:spacing w:before="120" w:line="22" w:lineRule="atLeast"/>
    </w:pPr>
    <w:rPr>
      <w:rFonts w:ascii="宋体" w:hAnsi="宋体"/>
      <w:sz w:val="24"/>
    </w:rPr>
  </w:style>
  <w:style w:type="paragraph" w:styleId="11">
    <w:name w:val="Body Text 2"/>
    <w:basedOn w:val="1"/>
    <w:qFormat/>
    <w:uiPriority w:val="0"/>
    <w:pPr>
      <w:tabs>
        <w:tab w:val="left" w:pos="8208"/>
        <w:tab w:val="left" w:pos="9072"/>
      </w:tabs>
      <w:autoSpaceDE w:val="0"/>
      <w:autoSpaceDN w:val="0"/>
      <w:adjustRightInd w:val="0"/>
      <w:spacing w:line="360" w:lineRule="atLeast"/>
      <w:ind w:right="720"/>
      <w:textAlignment w:val="bottom"/>
    </w:pPr>
    <w:rPr>
      <w:rFonts w:ascii="Bookman Old Style" w:hAnsi="Bookman Old Style"/>
      <w:spacing w:val="-6"/>
      <w:kern w:val="0"/>
      <w:lang w:val="en-GB" w:eastAsia="en-GB"/>
    </w:rPr>
  </w:style>
  <w:style w:type="paragraph" w:styleId="12">
    <w:name w:val="toc 3"/>
    <w:basedOn w:val="1"/>
    <w:next w:val="1"/>
    <w:autoRedefine/>
    <w:qFormat/>
    <w:uiPriority w:val="39"/>
    <w:pPr>
      <w:spacing w:line="500" w:lineRule="exact"/>
      <w:ind w:left="400" w:leftChars="400"/>
    </w:pPr>
    <w:rPr>
      <w:sz w:val="24"/>
    </w:rPr>
  </w:style>
  <w:style w:type="paragraph" w:styleId="13">
    <w:name w:val="Plain Text"/>
    <w:basedOn w:val="1"/>
    <w:link w:val="43"/>
    <w:autoRedefine/>
    <w:qFormat/>
    <w:uiPriority w:val="0"/>
    <w:rPr>
      <w:rFonts w:ascii="宋体" w:hAnsi="Courier New"/>
      <w:kern w:val="0"/>
      <w:sz w:val="20"/>
      <w:szCs w:val="20"/>
    </w:rPr>
  </w:style>
  <w:style w:type="paragraph" w:styleId="14">
    <w:name w:val="Date"/>
    <w:basedOn w:val="1"/>
    <w:next w:val="1"/>
    <w:link w:val="51"/>
    <w:autoRedefine/>
    <w:qFormat/>
    <w:uiPriority w:val="0"/>
    <w:pPr>
      <w:ind w:left="100" w:leftChars="2500"/>
    </w:pPr>
    <w:rPr>
      <w:rFonts w:ascii="Calibri" w:hAnsi="Calibri"/>
    </w:rPr>
  </w:style>
  <w:style w:type="paragraph" w:styleId="15">
    <w:name w:val="Body Text Indent 2"/>
    <w:basedOn w:val="1"/>
    <w:link w:val="46"/>
    <w:autoRedefine/>
    <w:qFormat/>
    <w:uiPriority w:val="0"/>
    <w:pPr>
      <w:spacing w:after="120" w:line="480" w:lineRule="auto"/>
      <w:ind w:left="420" w:leftChars="200"/>
    </w:pPr>
  </w:style>
  <w:style w:type="paragraph" w:styleId="16">
    <w:name w:val="Balloon Text"/>
    <w:basedOn w:val="1"/>
    <w:link w:val="40"/>
    <w:autoRedefine/>
    <w:unhideWhenUsed/>
    <w:qFormat/>
    <w:uiPriority w:val="99"/>
    <w:rPr>
      <w:sz w:val="18"/>
      <w:szCs w:val="18"/>
    </w:rPr>
  </w:style>
  <w:style w:type="paragraph" w:styleId="17">
    <w:name w:val="footer"/>
    <w:basedOn w:val="1"/>
    <w:link w:val="44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18">
    <w:name w:val="envelope return"/>
    <w:basedOn w:val="1"/>
    <w:autoRedefine/>
    <w:unhideWhenUsed/>
    <w:qFormat/>
    <w:uiPriority w:val="99"/>
    <w:pPr>
      <w:snapToGrid w:val="0"/>
    </w:pPr>
    <w:rPr>
      <w:rFonts w:ascii="Arial" w:hAnsi="Arial"/>
    </w:rPr>
  </w:style>
  <w:style w:type="paragraph" w:styleId="19">
    <w:name w:val="header"/>
    <w:basedOn w:val="1"/>
    <w:link w:val="4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0">
    <w:name w:val="toc 1"/>
    <w:basedOn w:val="1"/>
    <w:next w:val="1"/>
    <w:autoRedefine/>
    <w:qFormat/>
    <w:uiPriority w:val="39"/>
    <w:pPr>
      <w:tabs>
        <w:tab w:val="left" w:pos="1260"/>
        <w:tab w:val="right" w:leader="dot" w:pos="9060"/>
      </w:tabs>
      <w:spacing w:line="500" w:lineRule="exact"/>
    </w:pPr>
    <w:rPr>
      <w:sz w:val="24"/>
    </w:rPr>
  </w:style>
  <w:style w:type="paragraph" w:styleId="21">
    <w:name w:val="toc 2"/>
    <w:basedOn w:val="1"/>
    <w:next w:val="1"/>
    <w:autoRedefine/>
    <w:qFormat/>
    <w:uiPriority w:val="39"/>
    <w:pPr>
      <w:spacing w:line="500" w:lineRule="exact"/>
      <w:ind w:left="200" w:leftChars="200"/>
    </w:pPr>
    <w:rPr>
      <w:sz w:val="24"/>
    </w:rPr>
  </w:style>
  <w:style w:type="paragraph" w:styleId="22">
    <w:name w:val="index 1"/>
    <w:basedOn w:val="1"/>
    <w:next w:val="1"/>
    <w:autoRedefine/>
    <w:semiHidden/>
    <w:qFormat/>
    <w:uiPriority w:val="0"/>
    <w:rPr>
      <w:szCs w:val="20"/>
    </w:rPr>
  </w:style>
  <w:style w:type="paragraph" w:styleId="23">
    <w:name w:val="annotation subject"/>
    <w:basedOn w:val="9"/>
    <w:next w:val="9"/>
    <w:link w:val="69"/>
    <w:autoRedefine/>
    <w:semiHidden/>
    <w:unhideWhenUsed/>
    <w:qFormat/>
    <w:uiPriority w:val="99"/>
    <w:rPr>
      <w:rFonts w:ascii="Times New Roman" w:hAnsi="Times New Roman"/>
      <w:b/>
      <w:bCs/>
      <w:kern w:val="2"/>
      <w:sz w:val="21"/>
    </w:rPr>
  </w:style>
  <w:style w:type="paragraph" w:styleId="24">
    <w:name w:val="Body Text First Indent"/>
    <w:basedOn w:val="10"/>
    <w:next w:val="25"/>
    <w:autoRedefine/>
    <w:qFormat/>
    <w:uiPriority w:val="0"/>
    <w:pPr>
      <w:spacing w:after="120"/>
      <w:ind w:firstLine="420" w:firstLineChars="100"/>
    </w:pPr>
    <w:rPr>
      <w:rFonts w:ascii="Times New Roman" w:hAnsi="Times New Roman" w:eastAsia="宋体"/>
      <w:sz w:val="24"/>
      <w:szCs w:val="24"/>
    </w:rPr>
  </w:style>
  <w:style w:type="paragraph" w:styleId="25">
    <w:name w:val="Body Text First Indent 2"/>
    <w:basedOn w:val="3"/>
    <w:autoRedefine/>
    <w:qFormat/>
    <w:uiPriority w:val="0"/>
    <w:pPr>
      <w:ind w:firstLine="420" w:firstLineChars="200"/>
    </w:pPr>
  </w:style>
  <w:style w:type="table" w:styleId="27">
    <w:name w:val="Table Grid"/>
    <w:basedOn w:val="26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9">
    <w:name w:val="Strong"/>
    <w:autoRedefine/>
    <w:qFormat/>
    <w:uiPriority w:val="0"/>
    <w:rPr>
      <w:b/>
      <w:bCs/>
    </w:rPr>
  </w:style>
  <w:style w:type="character" w:styleId="30">
    <w:name w:val="page number"/>
    <w:basedOn w:val="28"/>
    <w:autoRedefine/>
    <w:qFormat/>
    <w:uiPriority w:val="0"/>
  </w:style>
  <w:style w:type="character" w:styleId="31">
    <w:name w:val="FollowedHyperlink"/>
    <w:basedOn w:val="28"/>
    <w:autoRedefine/>
    <w:qFormat/>
    <w:uiPriority w:val="0"/>
    <w:rPr>
      <w:color w:val="800080"/>
      <w:u w:val="single"/>
    </w:rPr>
  </w:style>
  <w:style w:type="character" w:styleId="32">
    <w:name w:val="Hyperlink"/>
    <w:basedOn w:val="28"/>
    <w:autoRedefine/>
    <w:qFormat/>
    <w:uiPriority w:val="99"/>
    <w:rPr>
      <w:color w:val="0000FF"/>
      <w:u w:val="single"/>
    </w:rPr>
  </w:style>
  <w:style w:type="character" w:styleId="33">
    <w:name w:val="annotation reference"/>
    <w:autoRedefine/>
    <w:semiHidden/>
    <w:qFormat/>
    <w:uiPriority w:val="99"/>
    <w:rPr>
      <w:sz w:val="21"/>
      <w:szCs w:val="21"/>
    </w:rPr>
  </w:style>
  <w:style w:type="character" w:customStyle="1" w:styleId="34">
    <w:name w:val="正文缩进 字符"/>
    <w:link w:val="6"/>
    <w:autoRedefine/>
    <w:qFormat/>
    <w:uiPriority w:val="0"/>
    <w:rPr>
      <w:rFonts w:ascii="宋体" w:hAnsi="Times New Roman" w:eastAsia="宋体" w:cs="Times New Roman"/>
      <w:kern w:val="0"/>
      <w:sz w:val="24"/>
      <w:szCs w:val="20"/>
    </w:rPr>
  </w:style>
  <w:style w:type="character" w:customStyle="1" w:styleId="35">
    <w:name w:val="标题 2 字符"/>
    <w:basedOn w:val="28"/>
    <w:link w:val="5"/>
    <w:autoRedefine/>
    <w:qFormat/>
    <w:uiPriority w:val="0"/>
    <w:rPr>
      <w:rFonts w:ascii="Arial" w:hAnsi="Arial" w:eastAsia="宋体" w:cs="Times New Roman"/>
      <w:b/>
      <w:kern w:val="0"/>
      <w:sz w:val="32"/>
      <w:szCs w:val="20"/>
    </w:rPr>
  </w:style>
  <w:style w:type="character" w:customStyle="1" w:styleId="36">
    <w:name w:val="页脚 Char1"/>
    <w:basedOn w:val="28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37">
    <w:name w:val="标题 1 字符"/>
    <w:basedOn w:val="28"/>
    <w:link w:val="4"/>
    <w:autoRedefine/>
    <w:qFormat/>
    <w:uiPriority w:val="0"/>
    <w:rPr>
      <w:rFonts w:ascii="Times New Roman" w:hAnsi="Times New Roman" w:eastAsia="宋体" w:cs="Times New Roman"/>
      <w:b/>
      <w:bCs/>
      <w:kern w:val="44"/>
      <w:sz w:val="32"/>
      <w:szCs w:val="44"/>
    </w:rPr>
  </w:style>
  <w:style w:type="character" w:customStyle="1" w:styleId="38">
    <w:name w:val="纯文本 Char"/>
    <w:autoRedefine/>
    <w:qFormat/>
    <w:uiPriority w:val="0"/>
    <w:rPr>
      <w:rFonts w:ascii="宋体" w:hAnsi="Courier New"/>
    </w:rPr>
  </w:style>
  <w:style w:type="character" w:customStyle="1" w:styleId="39">
    <w:name w:val="批注文字 Char"/>
    <w:autoRedefine/>
    <w:qFormat/>
    <w:uiPriority w:val="99"/>
    <w:rPr>
      <w:rFonts w:eastAsia="宋体"/>
      <w:szCs w:val="24"/>
    </w:rPr>
  </w:style>
  <w:style w:type="character" w:customStyle="1" w:styleId="40">
    <w:name w:val="批注框文本 字符"/>
    <w:basedOn w:val="28"/>
    <w:link w:val="16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41">
    <w:name w:val="页眉 字符"/>
    <w:basedOn w:val="28"/>
    <w:link w:val="19"/>
    <w:autoRedefine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42">
    <w:name w:val="文档结构图 Char"/>
    <w:autoRedefine/>
    <w:qFormat/>
    <w:uiPriority w:val="0"/>
    <w:rPr>
      <w:rFonts w:ascii="宋体" w:eastAsia="宋体"/>
      <w:sz w:val="18"/>
      <w:szCs w:val="18"/>
    </w:rPr>
  </w:style>
  <w:style w:type="character" w:customStyle="1" w:styleId="43">
    <w:name w:val="纯文本 字符"/>
    <w:basedOn w:val="28"/>
    <w:link w:val="13"/>
    <w:autoRedefine/>
    <w:qFormat/>
    <w:uiPriority w:val="99"/>
    <w:rPr>
      <w:rFonts w:ascii="宋体" w:hAnsi="Courier New" w:eastAsia="宋体" w:cs="Courier New"/>
      <w:szCs w:val="21"/>
    </w:rPr>
  </w:style>
  <w:style w:type="character" w:customStyle="1" w:styleId="44">
    <w:name w:val="页脚 字符"/>
    <w:basedOn w:val="28"/>
    <w:link w:val="17"/>
    <w:autoRedefine/>
    <w:qFormat/>
    <w:uiPriority w:val="0"/>
    <w:rPr>
      <w:sz w:val="18"/>
      <w:szCs w:val="18"/>
    </w:rPr>
  </w:style>
  <w:style w:type="character" w:customStyle="1" w:styleId="45">
    <w:name w:val="正文文本缩进 字符"/>
    <w:basedOn w:val="28"/>
    <w:link w:val="3"/>
    <w:autoRedefine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46">
    <w:name w:val="正文文本缩进 2 字符"/>
    <w:basedOn w:val="28"/>
    <w:link w:val="15"/>
    <w:autoRedefine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47">
    <w:name w:val="批注文字 字符"/>
    <w:basedOn w:val="28"/>
    <w:link w:val="9"/>
    <w:autoRedefine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48">
    <w:name w:val="日期 Char"/>
    <w:basedOn w:val="28"/>
    <w:autoRedefine/>
    <w:qFormat/>
    <w:uiPriority w:val="0"/>
    <w:rPr>
      <w:szCs w:val="24"/>
    </w:rPr>
  </w:style>
  <w:style w:type="character" w:customStyle="1" w:styleId="49">
    <w:name w:val="正文文本 字符"/>
    <w:basedOn w:val="28"/>
    <w:link w:val="10"/>
    <w:autoRedefine/>
    <w:qFormat/>
    <w:uiPriority w:val="0"/>
    <w:rPr>
      <w:rFonts w:ascii="宋体" w:hAnsi="宋体" w:eastAsia="宋体" w:cs="Times New Roman"/>
      <w:sz w:val="24"/>
      <w:szCs w:val="24"/>
    </w:rPr>
  </w:style>
  <w:style w:type="character" w:customStyle="1" w:styleId="50">
    <w:name w:val="标题 3 字符"/>
    <w:basedOn w:val="28"/>
    <w:link w:val="7"/>
    <w:autoRedefine/>
    <w:qFormat/>
    <w:uiPriority w:val="0"/>
    <w:rPr>
      <w:rFonts w:ascii="宋体" w:hAnsi="Times New Roman" w:eastAsia="宋体" w:cs="Times New Roman"/>
      <w:b/>
      <w:kern w:val="0"/>
      <w:sz w:val="24"/>
      <w:szCs w:val="20"/>
    </w:rPr>
  </w:style>
  <w:style w:type="character" w:customStyle="1" w:styleId="51">
    <w:name w:val="日期 字符"/>
    <w:basedOn w:val="28"/>
    <w:link w:val="14"/>
    <w:autoRedefine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52">
    <w:name w:val="样式（正文） Char"/>
    <w:link w:val="53"/>
    <w:autoRedefine/>
    <w:qFormat/>
    <w:locked/>
    <w:uiPriority w:val="0"/>
    <w:rPr>
      <w:rFonts w:ascii="宋体" w:hAnsi="宋体" w:eastAsia="宋体"/>
      <w:sz w:val="24"/>
    </w:rPr>
  </w:style>
  <w:style w:type="paragraph" w:customStyle="1" w:styleId="53">
    <w:name w:val="样式（正文）"/>
    <w:basedOn w:val="1"/>
    <w:link w:val="52"/>
    <w:autoRedefine/>
    <w:qFormat/>
    <w:uiPriority w:val="0"/>
    <w:pPr>
      <w:spacing w:line="360" w:lineRule="auto"/>
      <w:ind w:firstLine="200" w:firstLineChars="200"/>
    </w:pPr>
    <w:rPr>
      <w:rFonts w:ascii="宋体" w:hAnsi="宋体"/>
      <w:kern w:val="0"/>
      <w:sz w:val="24"/>
      <w:szCs w:val="20"/>
    </w:rPr>
  </w:style>
  <w:style w:type="character" w:customStyle="1" w:styleId="54">
    <w:name w:val="文档结构图 字符"/>
    <w:basedOn w:val="28"/>
    <w:link w:val="8"/>
    <w:autoRedefine/>
    <w:semiHidden/>
    <w:qFormat/>
    <w:uiPriority w:val="99"/>
    <w:rPr>
      <w:rFonts w:ascii="宋体" w:hAnsi="Times New Roman" w:eastAsia="宋体" w:cs="Times New Roman"/>
      <w:sz w:val="18"/>
      <w:szCs w:val="18"/>
    </w:rPr>
  </w:style>
  <w:style w:type="paragraph" w:customStyle="1" w:styleId="55">
    <w:name w:val="样式 标题 2 + 段后: 156 磅"/>
    <w:basedOn w:val="5"/>
    <w:autoRedefine/>
    <w:qFormat/>
    <w:uiPriority w:val="0"/>
    <w:pPr>
      <w:spacing w:before="100" w:after="100" w:line="240" w:lineRule="auto"/>
    </w:pPr>
    <w:rPr>
      <w:rFonts w:cs="宋体"/>
      <w:bCs/>
      <w:sz w:val="30"/>
    </w:rPr>
  </w:style>
  <w:style w:type="paragraph" w:customStyle="1" w:styleId="56">
    <w:name w:val="无间隔1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57">
    <w:name w:val="列出段落1"/>
    <w:basedOn w:val="1"/>
    <w:autoRedefine/>
    <w:qFormat/>
    <w:uiPriority w:val="0"/>
    <w:pPr>
      <w:ind w:firstLine="420" w:firstLineChars="200"/>
    </w:pPr>
    <w:rPr>
      <w:rFonts w:ascii="Calibri" w:hAnsi="Calibri"/>
      <w:szCs w:val="22"/>
    </w:rPr>
  </w:style>
  <w:style w:type="paragraph" w:customStyle="1" w:styleId="58">
    <w:name w:val="Char"/>
    <w:basedOn w:val="1"/>
    <w:autoRedefine/>
    <w:qFormat/>
    <w:uiPriority w:val="0"/>
    <w:pPr>
      <w:tabs>
        <w:tab w:val="left" w:pos="432"/>
      </w:tabs>
      <w:spacing w:beforeLines="50" w:afterLines="50"/>
      <w:ind w:left="864" w:hanging="432"/>
    </w:pPr>
    <w:rPr>
      <w:sz w:val="24"/>
    </w:rPr>
  </w:style>
  <w:style w:type="paragraph" w:customStyle="1" w:styleId="59">
    <w:name w:val="Char2"/>
    <w:basedOn w:val="1"/>
    <w:next w:val="1"/>
    <w:autoRedefine/>
    <w:qFormat/>
    <w:uiPriority w:val="0"/>
    <w:pPr>
      <w:widowControl/>
      <w:spacing w:line="360" w:lineRule="auto"/>
      <w:jc w:val="left"/>
    </w:pPr>
    <w:rPr>
      <w:kern w:val="0"/>
      <w:szCs w:val="20"/>
      <w:lang w:eastAsia="en-US"/>
    </w:rPr>
  </w:style>
  <w:style w:type="paragraph" w:customStyle="1" w:styleId="60">
    <w:name w:val="样式1"/>
    <w:basedOn w:val="7"/>
    <w:autoRedefine/>
    <w:qFormat/>
    <w:uiPriority w:val="0"/>
    <w:pPr>
      <w:jc w:val="center"/>
    </w:pPr>
  </w:style>
  <w:style w:type="paragraph" w:customStyle="1" w:styleId="61">
    <w:name w:val="Char1"/>
    <w:basedOn w:val="1"/>
    <w:autoRedefine/>
    <w:qFormat/>
    <w:uiPriority w:val="0"/>
    <w:rPr>
      <w:rFonts w:ascii="Tahoma" w:hAnsi="Tahoma"/>
      <w:sz w:val="24"/>
      <w:szCs w:val="20"/>
    </w:rPr>
  </w:style>
  <w:style w:type="paragraph" w:customStyle="1" w:styleId="62">
    <w:name w:val="Char Char1"/>
    <w:basedOn w:val="1"/>
    <w:autoRedefine/>
    <w:qFormat/>
    <w:uiPriority w:val="0"/>
    <w:rPr>
      <w:szCs w:val="20"/>
    </w:rPr>
  </w:style>
  <w:style w:type="paragraph" w:customStyle="1" w:styleId="63">
    <w:name w:val="p0"/>
    <w:basedOn w:val="1"/>
    <w:autoRedefine/>
    <w:qFormat/>
    <w:uiPriority w:val="0"/>
    <w:pPr>
      <w:widowControl/>
      <w:snapToGrid w:val="0"/>
      <w:spacing w:after="200"/>
      <w:jc w:val="left"/>
    </w:pPr>
    <w:rPr>
      <w:rFonts w:ascii="Tahoma" w:hAnsi="Tahoma" w:cs="Tahoma"/>
      <w:kern w:val="0"/>
      <w:sz w:val="22"/>
      <w:szCs w:val="22"/>
    </w:rPr>
  </w:style>
  <w:style w:type="paragraph" w:customStyle="1" w:styleId="64">
    <w:name w:val="Char11"/>
    <w:basedOn w:val="1"/>
    <w:autoRedefine/>
    <w:qFormat/>
    <w:uiPriority w:val="0"/>
    <w:rPr>
      <w:rFonts w:ascii="Tahoma" w:hAnsi="Tahoma"/>
      <w:sz w:val="24"/>
      <w:szCs w:val="20"/>
    </w:rPr>
  </w:style>
  <w:style w:type="paragraph" w:customStyle="1" w:styleId="65">
    <w:name w:val="表文"/>
    <w:basedOn w:val="1"/>
    <w:autoRedefine/>
    <w:qFormat/>
    <w:uiPriority w:val="0"/>
    <w:rPr>
      <w:rFonts w:ascii="宋体" w:hAnsi="宋体" w:cs="宋体"/>
      <w:color w:val="000000"/>
      <w:kern w:val="0"/>
      <w:szCs w:val="21"/>
    </w:rPr>
  </w:style>
  <w:style w:type="paragraph" w:customStyle="1" w:styleId="66">
    <w:name w:val="Char Char11"/>
    <w:basedOn w:val="1"/>
    <w:autoRedefine/>
    <w:qFormat/>
    <w:uiPriority w:val="0"/>
  </w:style>
  <w:style w:type="paragraph" w:customStyle="1" w:styleId="67">
    <w:name w:val="段"/>
    <w:autoRedefine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styleId="68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69">
    <w:name w:val="批注主题 字符"/>
    <w:basedOn w:val="47"/>
    <w:link w:val="23"/>
    <w:autoRedefine/>
    <w:semiHidden/>
    <w:qFormat/>
    <w:uiPriority w:val="99"/>
    <w:rPr>
      <w:rFonts w:ascii="Times New Roman" w:hAnsi="Times New Roman" w:eastAsia="宋体" w:cs="Times New Roman"/>
      <w:b/>
      <w:bCs/>
      <w:kern w:val="2"/>
      <w:sz w:val="21"/>
      <w:szCs w:val="24"/>
    </w:rPr>
  </w:style>
  <w:style w:type="character" w:customStyle="1" w:styleId="70">
    <w:name w:val="NormalCharacter"/>
    <w:autoRedefine/>
    <w:qFormat/>
    <w:uiPriority w:val="0"/>
  </w:style>
  <w:style w:type="paragraph" w:customStyle="1" w:styleId="71">
    <w:name w:val="正文 New"/>
    <w:basedOn w:val="1"/>
    <w:autoRedefine/>
    <w:qFormat/>
    <w:uiPriority w:val="0"/>
    <w:pPr>
      <w:spacing w:before="100" w:beforeAutospacing="1" w:after="100" w:afterAutospacing="1" w:line="440" w:lineRule="exact"/>
      <w:ind w:left="357" w:hanging="357"/>
    </w:pPr>
    <w:rPr>
      <w:szCs w:val="21"/>
    </w:rPr>
  </w:style>
  <w:style w:type="paragraph" w:customStyle="1" w:styleId="72">
    <w:name w:val="Table Paragraph"/>
    <w:basedOn w:val="1"/>
    <w:autoRedefine/>
    <w:qFormat/>
    <w:uiPriority w:val="0"/>
    <w:pPr>
      <w:autoSpaceDE w:val="0"/>
      <w:autoSpaceDN w:val="0"/>
      <w:jc w:val="left"/>
    </w:pPr>
    <w:rPr>
      <w:rFonts w:ascii="宋体" w:hAnsi="宋体" w:cs="宋体"/>
      <w:kern w:val="0"/>
      <w:sz w:val="22"/>
      <w:szCs w:val="22"/>
      <w:lang w:val="zh-CN" w:bidi="zh-CN"/>
    </w:rPr>
  </w:style>
  <w:style w:type="character" w:customStyle="1" w:styleId="73">
    <w:name w:val="dash6b63_6587__char1"/>
    <w:basedOn w:val="28"/>
    <w:autoRedefine/>
    <w:qFormat/>
    <w:uiPriority w:val="0"/>
    <w:rPr>
      <w:rFonts w:hint="default" w:ascii="Times New Roman" w:hAnsi="Times New Roman" w:cs="Times New Roman"/>
      <w:sz w:val="20"/>
      <w:szCs w:val="20"/>
      <w:u w:val="none"/>
    </w:rPr>
  </w:style>
  <w:style w:type="paragraph" w:customStyle="1" w:styleId="74">
    <w:name w:val="dash6b63_6587"/>
    <w:basedOn w:val="1"/>
    <w:autoRedefine/>
    <w:qFormat/>
    <w:uiPriority w:val="0"/>
    <w:pPr>
      <w:widowControl/>
    </w:pPr>
    <w:rPr>
      <w:rFonts w:eastAsia="Times New Roman"/>
      <w:kern w:val="0"/>
      <w:sz w:val="20"/>
      <w:szCs w:val="20"/>
    </w:rPr>
  </w:style>
  <w:style w:type="character" w:customStyle="1" w:styleId="75">
    <w:name w:val="书籍标题1"/>
    <w:basedOn w:val="28"/>
    <w:autoRedefine/>
    <w:qFormat/>
    <w:uiPriority w:val="33"/>
    <w:rPr>
      <w:b/>
      <w:bCs/>
      <w:smallCaps/>
      <w:spacing w:val="5"/>
    </w:rPr>
  </w:style>
  <w:style w:type="paragraph" w:customStyle="1" w:styleId="76">
    <w:name w:val="p15"/>
    <w:basedOn w:val="1"/>
    <w:autoRedefine/>
    <w:qFormat/>
    <w:uiPriority w:val="0"/>
    <w:rPr>
      <w:rFonts w:ascii="Arial Unicode MS" w:hAnsi="Arial Unicode MS" w:cs="宋体"/>
      <w:color w:val="000000"/>
      <w:sz w:val="24"/>
    </w:rPr>
  </w:style>
  <w:style w:type="table" w:customStyle="1" w:styleId="77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8">
    <w:name w:val="网格型1"/>
    <w:basedOn w:val="26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9">
    <w:name w:val="List Paragraph_b5bcd0f9-013a-4c48-86fd-c1f84c70c80c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A7F797B-DF17-40DC-9596-140F00A2866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2980</Words>
  <Characters>3166</Characters>
  <Lines>173</Lines>
  <Paragraphs>48</Paragraphs>
  <TotalTime>4</TotalTime>
  <ScaleCrop>false</ScaleCrop>
  <LinksUpToDate>false</LinksUpToDate>
  <CharactersWithSpaces>3219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2024-04-14T01:27:00Z</dcterms:created>
  <dc:creator>admin</dc:creator>
  <cp:lastModifiedBy>西柚</cp:lastModifiedBy>
  <cp:lastPrinted>2024-08-23T03:02:00Z</cp:lastPrinted>
  <dcterms:modified xsi:type="dcterms:W3CDTF">2025-03-25T02:48:07Z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23B4B56085D64A56A7EBA3490AD5B293_13</vt:lpwstr>
  </property>
  <property fmtid="{D5CDD505-2E9C-101B-9397-08002B2CF9AE}" pid="4" name="KSOTemplateDocerSaveRecord">
    <vt:lpwstr>eyJoZGlkIjoiM2E2ZGVlYTc0Yzk0MzgyOTk4MjkxYjk4NjY5ZWU4ZjMiLCJ1c2VySWQiOiI2Mjk2NDg5NTYifQ==</vt:lpwstr>
  </property>
</Properties>
</file>